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BD4F" w14:textId="77777777" w:rsidR="005A3D21" w:rsidRPr="00B658F0" w:rsidRDefault="005A3D21" w:rsidP="003D4A6E">
      <w:pPr>
        <w:spacing w:after="0" w:line="240" w:lineRule="exact"/>
        <w:jc w:val="both"/>
        <w:rPr>
          <w:rFonts w:ascii="Georgia" w:hAnsi="Georgia"/>
        </w:rPr>
      </w:pPr>
    </w:p>
    <w:p w14:paraId="38DA708A" w14:textId="77777777" w:rsidR="00560684" w:rsidRPr="00B658F0" w:rsidRDefault="00560684" w:rsidP="003D4A6E">
      <w:pPr>
        <w:spacing w:after="0" w:line="240" w:lineRule="exact"/>
        <w:jc w:val="both"/>
        <w:rPr>
          <w:rFonts w:ascii="Georgia" w:hAnsi="Georgia"/>
        </w:rPr>
      </w:pPr>
    </w:p>
    <w:p w14:paraId="62DF1294" w14:textId="5F97062A" w:rsidR="00983949" w:rsidRPr="00B658F0" w:rsidRDefault="00983949" w:rsidP="003D4A6E">
      <w:pPr>
        <w:spacing w:after="0" w:line="240" w:lineRule="exact"/>
        <w:jc w:val="both"/>
        <w:rPr>
          <w:rFonts w:ascii="Georgia" w:hAnsi="Georgia"/>
        </w:rPr>
      </w:pPr>
      <w:r w:rsidRPr="00B658F0">
        <w:rPr>
          <w:rFonts w:ascii="Georgia" w:hAnsi="Georgia"/>
        </w:rPr>
        <w:t xml:space="preserve">The National Multifamily Housing Council (NMHC) and the National Apartment Association (NAA) respectfully submit this statement for the record for the </w:t>
      </w:r>
      <w:r w:rsidR="00235CE6">
        <w:rPr>
          <w:rFonts w:ascii="Georgia" w:hAnsi="Georgia"/>
        </w:rPr>
        <w:t xml:space="preserve">Senate Finance Committee’s </w:t>
      </w:r>
      <w:r w:rsidRPr="00B658F0">
        <w:rPr>
          <w:rFonts w:ascii="Georgia" w:hAnsi="Georgia"/>
        </w:rPr>
        <w:t xml:space="preserve">July </w:t>
      </w:r>
      <w:r w:rsidR="004F395B">
        <w:rPr>
          <w:rFonts w:ascii="Georgia" w:hAnsi="Georgia"/>
        </w:rPr>
        <w:t>20</w:t>
      </w:r>
      <w:r w:rsidRPr="00B658F0">
        <w:rPr>
          <w:rFonts w:ascii="Georgia" w:hAnsi="Georgia"/>
        </w:rPr>
        <w:t>, 202</w:t>
      </w:r>
      <w:r w:rsidR="004F395B">
        <w:rPr>
          <w:rFonts w:ascii="Georgia" w:hAnsi="Georgia"/>
        </w:rPr>
        <w:t>2</w:t>
      </w:r>
      <w:r w:rsidRPr="00B658F0">
        <w:rPr>
          <w:rFonts w:ascii="Georgia" w:hAnsi="Georgia"/>
        </w:rPr>
        <w:t xml:space="preserve">, hearing titled </w:t>
      </w:r>
      <w:r w:rsidR="0000187A">
        <w:rPr>
          <w:rFonts w:ascii="Georgia" w:hAnsi="Georgia"/>
          <w:i/>
          <w:iCs/>
        </w:rPr>
        <w:t>The Role of Tax Incentives in Affordable Housing</w:t>
      </w:r>
      <w:r w:rsidRPr="00B658F0">
        <w:rPr>
          <w:rFonts w:ascii="Georgia" w:hAnsi="Georgia"/>
        </w:rPr>
        <w:t>.</w:t>
      </w:r>
      <w:r w:rsidR="008B677A" w:rsidRPr="00B658F0">
        <w:rPr>
          <w:rStyle w:val="FootnoteReference"/>
          <w:rFonts w:ascii="Georgia" w:hAnsi="Georgia"/>
        </w:rPr>
        <w:footnoteReference w:id="1"/>
      </w:r>
    </w:p>
    <w:p w14:paraId="12349DDD" w14:textId="0798F224" w:rsidR="00B733ED" w:rsidRPr="00B658F0" w:rsidRDefault="00B733ED" w:rsidP="003D4A6E">
      <w:pPr>
        <w:spacing w:after="0" w:line="240" w:lineRule="exact"/>
        <w:jc w:val="both"/>
        <w:rPr>
          <w:rFonts w:ascii="Georgia" w:hAnsi="Georgia"/>
        </w:rPr>
      </w:pPr>
    </w:p>
    <w:p w14:paraId="37B4E086" w14:textId="3DFA1AFC" w:rsidR="007036DA" w:rsidRPr="00B658F0" w:rsidRDefault="00B57ECA" w:rsidP="0028632B">
      <w:pPr>
        <w:spacing w:after="0" w:line="240" w:lineRule="exact"/>
        <w:jc w:val="both"/>
        <w:rPr>
          <w:rFonts w:ascii="Georgia" w:hAnsi="Georgia"/>
        </w:rPr>
      </w:pPr>
      <w:r>
        <w:rPr>
          <w:rFonts w:ascii="Georgia" w:hAnsi="Georgia"/>
          <w:b/>
          <w:bCs/>
        </w:rPr>
        <w:t>ADDRESSING THE HOUSING AFFORDABILITY CHALLENGE</w:t>
      </w:r>
    </w:p>
    <w:p w14:paraId="5F9354C6" w14:textId="77777777" w:rsidR="002F4905" w:rsidRDefault="002F4905" w:rsidP="00A2709A">
      <w:pPr>
        <w:spacing w:after="0" w:line="240" w:lineRule="exact"/>
        <w:jc w:val="both"/>
        <w:rPr>
          <w:rFonts w:ascii="Georgia" w:hAnsi="Georgia"/>
        </w:rPr>
      </w:pPr>
    </w:p>
    <w:p w14:paraId="3188241E" w14:textId="6C9BFD9F" w:rsidR="007A156B" w:rsidRDefault="00076305" w:rsidP="00A2709A">
      <w:pPr>
        <w:spacing w:after="0" w:line="240" w:lineRule="exact"/>
        <w:jc w:val="both"/>
        <w:rPr>
          <w:rFonts w:ascii="Georgia" w:hAnsi="Georgia"/>
        </w:rPr>
      </w:pPr>
      <w:r w:rsidRPr="00B658F0">
        <w:rPr>
          <w:rFonts w:ascii="Georgia" w:hAnsi="Georgia"/>
        </w:rPr>
        <w:t xml:space="preserve">The apartment industry </w:t>
      </w:r>
      <w:r w:rsidR="00BF2335" w:rsidRPr="00B658F0">
        <w:rPr>
          <w:rFonts w:ascii="Georgia" w:hAnsi="Georgia"/>
        </w:rPr>
        <w:t xml:space="preserve">today </w:t>
      </w:r>
      <w:r w:rsidR="0028632B" w:rsidRPr="00B658F0">
        <w:rPr>
          <w:rFonts w:ascii="Georgia" w:hAnsi="Georgia"/>
        </w:rPr>
        <w:t xml:space="preserve">plays a critical role in housing this nation’s households by providing </w:t>
      </w:r>
      <w:r w:rsidRPr="00B658F0">
        <w:rPr>
          <w:rFonts w:ascii="Georgia" w:hAnsi="Georgia"/>
        </w:rPr>
        <w:t xml:space="preserve">apartment homes </w:t>
      </w:r>
      <w:r w:rsidR="0028632B" w:rsidRPr="00B658F0">
        <w:rPr>
          <w:rFonts w:ascii="Georgia" w:hAnsi="Georgia"/>
        </w:rPr>
        <w:t xml:space="preserve">to </w:t>
      </w:r>
      <w:r w:rsidR="00F91CD4">
        <w:rPr>
          <w:rFonts w:ascii="Georgia" w:hAnsi="Georgia"/>
        </w:rPr>
        <w:t>36.8</w:t>
      </w:r>
      <w:r w:rsidRPr="00B658F0">
        <w:rPr>
          <w:rFonts w:ascii="Georgia" w:hAnsi="Georgia"/>
        </w:rPr>
        <w:t xml:space="preserve"> million residents, contributing $3.4 trillion annually to the</w:t>
      </w:r>
      <w:r w:rsidR="0093639D" w:rsidRPr="00B658F0">
        <w:rPr>
          <w:rFonts w:ascii="Georgia" w:hAnsi="Georgia"/>
        </w:rPr>
        <w:t xml:space="preserve"> </w:t>
      </w:r>
      <w:r w:rsidRPr="00B658F0">
        <w:rPr>
          <w:rFonts w:ascii="Georgia" w:hAnsi="Georgia"/>
        </w:rPr>
        <w:t>economy</w:t>
      </w:r>
      <w:r w:rsidR="0093639D" w:rsidRPr="00B658F0">
        <w:rPr>
          <w:rFonts w:ascii="Georgia" w:hAnsi="Georgia"/>
        </w:rPr>
        <w:t xml:space="preserve"> </w:t>
      </w:r>
      <w:r w:rsidR="00F92F30" w:rsidRPr="00B658F0">
        <w:rPr>
          <w:rFonts w:ascii="Georgia" w:hAnsi="Georgia"/>
        </w:rPr>
        <w:t>while</w:t>
      </w:r>
      <w:r w:rsidR="0093639D" w:rsidRPr="00B658F0">
        <w:rPr>
          <w:rFonts w:ascii="Georgia" w:hAnsi="Georgia"/>
        </w:rPr>
        <w:t xml:space="preserve"> </w:t>
      </w:r>
      <w:r w:rsidR="00F92F30" w:rsidRPr="00B658F0">
        <w:rPr>
          <w:rFonts w:ascii="Georgia" w:hAnsi="Georgia"/>
        </w:rPr>
        <w:t>supporting 17.5 million jobs</w:t>
      </w:r>
      <w:r w:rsidRPr="00B658F0">
        <w:rPr>
          <w:rFonts w:ascii="Georgia" w:hAnsi="Georgia"/>
        </w:rPr>
        <w:t>.</w:t>
      </w:r>
      <w:r w:rsidR="003F3E97" w:rsidRPr="003F3E97">
        <w:rPr>
          <w:rStyle w:val="FootnoteReference"/>
          <w:rFonts w:ascii="Georgia" w:hAnsi="Georgia"/>
        </w:rPr>
        <w:t xml:space="preserve"> </w:t>
      </w:r>
      <w:r w:rsidR="003F3E97">
        <w:rPr>
          <w:rStyle w:val="FootnoteReference"/>
          <w:rFonts w:ascii="Georgia" w:hAnsi="Georgia"/>
        </w:rPr>
        <w:footnoteReference w:id="2"/>
      </w:r>
      <w:r w:rsidR="00553CD0">
        <w:rPr>
          <w:rFonts w:ascii="Georgia" w:hAnsi="Georgia"/>
        </w:rPr>
        <w:t xml:space="preserve"> </w:t>
      </w:r>
      <w:r w:rsidR="00F92F30" w:rsidRPr="00B658F0">
        <w:rPr>
          <w:rStyle w:val="FootnoteReference"/>
          <w:rFonts w:ascii="Georgia" w:hAnsi="Georgia"/>
        </w:rPr>
        <w:footnoteReference w:id="3"/>
      </w:r>
      <w:r w:rsidR="0093639D" w:rsidRPr="00B658F0">
        <w:rPr>
          <w:rFonts w:ascii="Georgia" w:hAnsi="Georgia"/>
        </w:rPr>
        <w:t xml:space="preserve"> </w:t>
      </w:r>
      <w:r w:rsidR="0028632B" w:rsidRPr="00B658F0">
        <w:rPr>
          <w:rFonts w:ascii="Georgia" w:hAnsi="Georgia"/>
        </w:rPr>
        <w:t xml:space="preserve">At the same time, it is apparent </w:t>
      </w:r>
      <w:r w:rsidR="00291936">
        <w:rPr>
          <w:rFonts w:ascii="Georgia" w:hAnsi="Georgia"/>
        </w:rPr>
        <w:t xml:space="preserve">that the nation is experiencing a </w:t>
      </w:r>
      <w:r w:rsidR="007B28EF">
        <w:rPr>
          <w:rFonts w:ascii="Georgia" w:hAnsi="Georgia"/>
        </w:rPr>
        <w:t>significant</w:t>
      </w:r>
      <w:r w:rsidR="00291936">
        <w:rPr>
          <w:rFonts w:ascii="Georgia" w:hAnsi="Georgia"/>
        </w:rPr>
        <w:t xml:space="preserve"> challenge surrounding housing affordability </w:t>
      </w:r>
      <w:r w:rsidR="007B28EF">
        <w:rPr>
          <w:rFonts w:ascii="Georgia" w:hAnsi="Georgia"/>
        </w:rPr>
        <w:t xml:space="preserve">that is exacerbated by an insufficient supply of multifamily housing. </w:t>
      </w:r>
    </w:p>
    <w:p w14:paraId="457A2648" w14:textId="77777777" w:rsidR="007A156B" w:rsidRDefault="007A156B" w:rsidP="00A2709A">
      <w:pPr>
        <w:spacing w:after="0" w:line="240" w:lineRule="exact"/>
        <w:jc w:val="both"/>
        <w:rPr>
          <w:rFonts w:ascii="Georgia" w:hAnsi="Georgia"/>
        </w:rPr>
      </w:pPr>
    </w:p>
    <w:p w14:paraId="000D3236" w14:textId="26B4D019" w:rsidR="00BE196D" w:rsidRDefault="007274ED" w:rsidP="00A2709A">
      <w:pPr>
        <w:spacing w:after="0" w:line="240" w:lineRule="exact"/>
        <w:jc w:val="both"/>
        <w:rPr>
          <w:rStyle w:val="normaltextrun"/>
          <w:rFonts w:ascii="Georgia" w:hAnsi="Georgia"/>
        </w:rPr>
      </w:pPr>
      <w:r>
        <w:rPr>
          <w:rStyle w:val="normaltextrun"/>
          <w:rFonts w:ascii="Georgia" w:hAnsi="Georgia"/>
        </w:rPr>
        <w:t xml:space="preserve">Affordability has been a longstanding problem in housing. In 1985, 28.0 percent of all households were cost-burdened (paying over </w:t>
      </w:r>
      <w:r w:rsidR="003A6805">
        <w:rPr>
          <w:rStyle w:val="normaltextrun"/>
          <w:rFonts w:ascii="Georgia" w:hAnsi="Georgia"/>
        </w:rPr>
        <w:t>30</w:t>
      </w:r>
      <w:r>
        <w:rPr>
          <w:rStyle w:val="normaltextrun"/>
          <w:rFonts w:ascii="Georgia" w:hAnsi="Georgia"/>
        </w:rPr>
        <w:t xml:space="preserve"> percent of their income on housing), while 12.1 percent had severe cost-burdens (paying over half of their income on housing). Over </w:t>
      </w:r>
      <w:r w:rsidR="001F32F7">
        <w:rPr>
          <w:rStyle w:val="normaltextrun"/>
          <w:rFonts w:ascii="Georgia" w:hAnsi="Georgia"/>
        </w:rPr>
        <w:t>30</w:t>
      </w:r>
      <w:r>
        <w:rPr>
          <w:rStyle w:val="normaltextrun"/>
          <w:rFonts w:ascii="Georgia" w:hAnsi="Georgia"/>
        </w:rPr>
        <w:t xml:space="preserve"> years later, these shares of cost-burdened and severely cost-burdened households increased to 35.8 percent and 18.0 percent, respectively.</w:t>
      </w:r>
      <w:r w:rsidR="00512563">
        <w:rPr>
          <w:rStyle w:val="FootnoteReference"/>
          <w:rFonts w:ascii="Georgia" w:hAnsi="Georgia"/>
        </w:rPr>
        <w:footnoteReference w:id="4"/>
      </w:r>
      <w:r w:rsidR="001A5C27">
        <w:rPr>
          <w:rStyle w:val="normaltextrun"/>
          <w:rFonts w:ascii="Georgia" w:hAnsi="Georgia"/>
        </w:rPr>
        <w:t xml:space="preserve"> </w:t>
      </w:r>
      <w:r w:rsidR="00863FB6">
        <w:rPr>
          <w:rStyle w:val="normaltextrun"/>
          <w:rFonts w:ascii="Georgia" w:hAnsi="Georgia"/>
        </w:rPr>
        <w:t>The multifamily industry has faced even greater challenges:</w:t>
      </w:r>
      <w:r w:rsidR="003B3DEA">
        <w:rPr>
          <w:rStyle w:val="normaltextrun"/>
          <w:rFonts w:ascii="Georgia" w:hAnsi="Georgia"/>
        </w:rPr>
        <w:t xml:space="preserve"> The total share of cost-burdened apartment households increased steadily from 42.4 percent in 1985 to 54.6 percent in 2019. </w:t>
      </w:r>
      <w:r w:rsidR="00DE13F6">
        <w:rPr>
          <w:rStyle w:val="normaltextrun"/>
          <w:rFonts w:ascii="Georgia" w:hAnsi="Georgia"/>
        </w:rPr>
        <w:t>D</w:t>
      </w:r>
      <w:r w:rsidR="003B3DEA">
        <w:rPr>
          <w:rStyle w:val="normaltextrun"/>
          <w:rFonts w:ascii="Georgia" w:hAnsi="Georgia"/>
        </w:rPr>
        <w:t xml:space="preserve">uring this period, the total share of severely cost-burdened apartment households increased from 20.9 </w:t>
      </w:r>
      <w:r w:rsidR="001F32F7">
        <w:rPr>
          <w:rStyle w:val="normaltextrun"/>
          <w:rFonts w:ascii="Georgia" w:hAnsi="Georgia"/>
        </w:rPr>
        <w:t xml:space="preserve">percent </w:t>
      </w:r>
      <w:r w:rsidR="003B3DEA">
        <w:rPr>
          <w:rStyle w:val="normaltextrun"/>
          <w:rFonts w:ascii="Georgia" w:hAnsi="Georgia"/>
        </w:rPr>
        <w:t>to 29.9 percent.</w:t>
      </w:r>
      <w:r w:rsidR="000A7488">
        <w:rPr>
          <w:rStyle w:val="FootnoteReference"/>
          <w:rFonts w:ascii="Georgia" w:hAnsi="Georgia"/>
        </w:rPr>
        <w:footnoteReference w:id="5"/>
      </w:r>
    </w:p>
    <w:p w14:paraId="1FB597FF" w14:textId="77777777" w:rsidR="00BE196D" w:rsidRDefault="00BE196D" w:rsidP="00A2709A">
      <w:pPr>
        <w:spacing w:after="0" w:line="240" w:lineRule="exact"/>
        <w:jc w:val="both"/>
        <w:rPr>
          <w:rStyle w:val="normaltextrun"/>
          <w:rFonts w:ascii="Georgia" w:hAnsi="Georgia"/>
        </w:rPr>
      </w:pPr>
    </w:p>
    <w:p w14:paraId="2895F2EF" w14:textId="5960083E" w:rsidR="00CD62E0" w:rsidRDefault="001D4799" w:rsidP="000559A3">
      <w:pPr>
        <w:spacing w:after="0" w:line="240" w:lineRule="exact"/>
        <w:jc w:val="both"/>
        <w:rPr>
          <w:rStyle w:val="normaltextrun"/>
          <w:rFonts w:ascii="Georgia" w:hAnsi="Georgia"/>
        </w:rPr>
      </w:pPr>
      <w:r>
        <w:rPr>
          <w:rFonts w:ascii="Georgia" w:hAnsi="Georgia"/>
        </w:rPr>
        <w:t xml:space="preserve">A historic unmet demand for multifamily housing </w:t>
      </w:r>
      <w:r w:rsidR="00791BF6">
        <w:rPr>
          <w:rFonts w:ascii="Georgia" w:hAnsi="Georgia"/>
        </w:rPr>
        <w:t xml:space="preserve">reflects the nation’s overall housing affordability challenges. </w:t>
      </w:r>
      <w:r w:rsidR="00F91CD4">
        <w:rPr>
          <w:rFonts w:ascii="Georgia" w:hAnsi="Georgia"/>
        </w:rPr>
        <w:t>The U</w:t>
      </w:r>
      <w:r w:rsidR="00A626A1">
        <w:rPr>
          <w:rFonts w:ascii="Georgia" w:hAnsi="Georgia"/>
        </w:rPr>
        <w:t>nited States</w:t>
      </w:r>
      <w:r w:rsidR="00F91CD4">
        <w:rPr>
          <w:rFonts w:ascii="Georgia" w:hAnsi="Georgia"/>
        </w:rPr>
        <w:t xml:space="preserve"> needs to build 4.3 million new apartments by 2035 to meet both future demand and the existing shortage of apartments.</w:t>
      </w:r>
      <w:r w:rsidR="00264755">
        <w:rPr>
          <w:rStyle w:val="FootnoteReference"/>
          <w:rFonts w:ascii="Georgia" w:hAnsi="Georgia"/>
        </w:rPr>
        <w:footnoteReference w:id="6"/>
      </w:r>
      <w:r w:rsidR="00F91CD4">
        <w:rPr>
          <w:rFonts w:ascii="Georgia" w:hAnsi="Georgia"/>
        </w:rPr>
        <w:t xml:space="preserve"> </w:t>
      </w:r>
      <w:r w:rsidR="00F91CD4" w:rsidRPr="00B658F0">
        <w:rPr>
          <w:rFonts w:ascii="Georgia" w:hAnsi="Georgia"/>
        </w:rPr>
        <w:t>Yet</w:t>
      </w:r>
      <w:r w:rsidR="00F91CD4">
        <w:rPr>
          <w:rFonts w:ascii="Georgia" w:hAnsi="Georgia"/>
        </w:rPr>
        <w:t>, rising costs, construction delays and labor shortages are making it increasingly difficult to build housing that is affordable to a wide range of income levels. Fully 97</w:t>
      </w:r>
      <w:r w:rsidR="00DC5B04">
        <w:rPr>
          <w:rFonts w:ascii="Georgia" w:hAnsi="Georgia"/>
        </w:rPr>
        <w:t xml:space="preserve"> percent</w:t>
      </w:r>
      <w:r w:rsidR="00F91CD4">
        <w:rPr>
          <w:rFonts w:ascii="Georgia" w:hAnsi="Georgia"/>
        </w:rPr>
        <w:t xml:space="preserve"> of apartment developers reported experiencing construction delays in NMHC’s most recent Quarterly Survey of Apartment Construction &amp; Development Activity. A majority of respondents (83</w:t>
      </w:r>
      <w:r w:rsidR="004367AF">
        <w:rPr>
          <w:rFonts w:ascii="Georgia" w:hAnsi="Georgia"/>
        </w:rPr>
        <w:t xml:space="preserve"> percent</w:t>
      </w:r>
      <w:r w:rsidR="00F91CD4">
        <w:rPr>
          <w:rFonts w:ascii="Georgia" w:hAnsi="Georgia"/>
        </w:rPr>
        <w:t>) reported that deals have been repriced up over the past three months while 40</w:t>
      </w:r>
      <w:r w:rsidR="00DC5B04">
        <w:rPr>
          <w:rFonts w:ascii="Georgia" w:hAnsi="Georgia"/>
        </w:rPr>
        <w:t xml:space="preserve"> percent </w:t>
      </w:r>
      <w:r w:rsidR="00F91CD4">
        <w:rPr>
          <w:rFonts w:ascii="Georgia" w:hAnsi="Georgia"/>
        </w:rPr>
        <w:t xml:space="preserve">said labor costs increased more than expected. </w:t>
      </w:r>
      <w:r w:rsidR="00F91CD4" w:rsidRPr="001A5C27">
        <w:rPr>
          <w:rStyle w:val="normaltextrun"/>
          <w:rFonts w:ascii="Georgia" w:hAnsi="Georgia"/>
        </w:rPr>
        <w:t>According to the Harvard Joint Center for Housing Studies, between 2012 and 2019, the price of vacant commercial land doubled, while the combined costs of construction labor, materials and contractor fees increased by 39 percent.</w:t>
      </w:r>
      <w:r w:rsidR="001A172F">
        <w:rPr>
          <w:rStyle w:val="FootnoteReference"/>
          <w:rFonts w:ascii="Georgia" w:hAnsi="Georgia"/>
        </w:rPr>
        <w:footnoteReference w:id="7"/>
      </w:r>
      <w:r w:rsidR="00F91CD4" w:rsidRPr="001A5C27">
        <w:rPr>
          <w:rStyle w:val="normaltextrun"/>
          <w:rFonts w:ascii="Georgia" w:hAnsi="Georgia"/>
        </w:rPr>
        <w:t xml:space="preserve"> For comparison, the overall price level rose </w:t>
      </w:r>
      <w:r w:rsidR="00F91CD4">
        <w:rPr>
          <w:rStyle w:val="normaltextrun"/>
          <w:rFonts w:ascii="Georgia" w:hAnsi="Georgia"/>
        </w:rPr>
        <w:t>11</w:t>
      </w:r>
      <w:r w:rsidR="00F91CD4" w:rsidRPr="001A5C27">
        <w:rPr>
          <w:rStyle w:val="normaltextrun"/>
          <w:rFonts w:ascii="Georgia" w:hAnsi="Georgia"/>
        </w:rPr>
        <w:t xml:space="preserve"> percent.</w:t>
      </w:r>
      <w:r w:rsidR="00F91CD4">
        <w:rPr>
          <w:rStyle w:val="FootnoteReference"/>
          <w:rFonts w:ascii="Georgia" w:hAnsi="Georgia"/>
        </w:rPr>
        <w:footnoteReference w:id="8"/>
      </w:r>
    </w:p>
    <w:p w14:paraId="41C31A00" w14:textId="16EC2086" w:rsidR="00391637" w:rsidRDefault="00391637" w:rsidP="000559A3">
      <w:pPr>
        <w:spacing w:after="0" w:line="240" w:lineRule="exact"/>
        <w:jc w:val="both"/>
        <w:rPr>
          <w:rStyle w:val="normaltextrun"/>
          <w:rFonts w:ascii="Georgia" w:hAnsi="Georgia"/>
        </w:rPr>
      </w:pPr>
    </w:p>
    <w:p w14:paraId="6C168FC6" w14:textId="5FB408C5" w:rsidR="00F91CD4" w:rsidRDefault="00F91CD4" w:rsidP="00391637">
      <w:pPr>
        <w:spacing w:after="0" w:line="240" w:lineRule="exact"/>
        <w:jc w:val="both"/>
        <w:rPr>
          <w:rStyle w:val="normaltextrun"/>
          <w:rFonts w:ascii="Georgia" w:hAnsi="Georgia"/>
        </w:rPr>
      </w:pPr>
      <w:r>
        <w:rPr>
          <w:rStyle w:val="normaltextrun"/>
          <w:rFonts w:ascii="Georgia" w:hAnsi="Georgia"/>
        </w:rPr>
        <w:t>H</w:t>
      </w:r>
      <w:r w:rsidRPr="00B91FC0">
        <w:rPr>
          <w:rStyle w:val="normaltextrun"/>
          <w:rFonts w:ascii="Georgia" w:hAnsi="Georgia"/>
        </w:rPr>
        <w:t xml:space="preserve">igh regulatory costs are further constraining supply. Recent research published by NMHC and the National Association of Home Builders </w:t>
      </w:r>
      <w:r>
        <w:rPr>
          <w:rStyle w:val="normaltextrun"/>
          <w:rFonts w:ascii="Georgia" w:hAnsi="Georgia"/>
        </w:rPr>
        <w:t>found</w:t>
      </w:r>
      <w:r w:rsidRPr="00B91FC0">
        <w:rPr>
          <w:rStyle w:val="normaltextrun"/>
          <w:rFonts w:ascii="Georgia" w:hAnsi="Georgia"/>
        </w:rPr>
        <w:t xml:space="preserve"> that regulation imposed by all levels of government </w:t>
      </w:r>
      <w:r w:rsidRPr="00B91FC0">
        <w:rPr>
          <w:rStyle w:val="normaltextrun"/>
          <w:rFonts w:ascii="Georgia" w:hAnsi="Georgia"/>
        </w:rPr>
        <w:lastRenderedPageBreak/>
        <w:t>accounts for an average of 40.6 percent of multifamily development costs.</w:t>
      </w:r>
      <w:r>
        <w:rPr>
          <w:rStyle w:val="FootnoteReference"/>
          <w:rFonts w:ascii="Georgia" w:hAnsi="Georgia"/>
        </w:rPr>
        <w:footnoteReference w:id="9"/>
      </w:r>
      <w:r w:rsidRPr="00B91FC0">
        <w:rPr>
          <w:rStyle w:val="normaltextrun"/>
          <w:rFonts w:ascii="Georgia" w:hAnsi="Georgia"/>
        </w:rPr>
        <w:t xml:space="preserve"> The research, which was based on a survey of 49 developers, finds that t</w:t>
      </w:r>
      <w:r w:rsidRPr="00B91FC0">
        <w:rPr>
          <w:rFonts w:ascii="Georgia" w:hAnsi="Georgia"/>
        </w:rPr>
        <w:t>hree quarters (74.5</w:t>
      </w:r>
      <w:r w:rsidR="00845531">
        <w:rPr>
          <w:rFonts w:ascii="Georgia" w:hAnsi="Georgia"/>
        </w:rPr>
        <w:t xml:space="preserve"> percent</w:t>
      </w:r>
      <w:r w:rsidRPr="00B91FC0">
        <w:rPr>
          <w:rFonts w:ascii="Georgia" w:hAnsi="Georgia"/>
        </w:rPr>
        <w:t>) of respondents said they encountered “Not In My Backyard” (NIMBY) opposition to a proposed development. Confronting that opposition adds an average of 5.6 percent to total development costs and delays the completion of those new properties by an average of 7.4 months.</w:t>
      </w:r>
      <w:r w:rsidR="001A172F">
        <w:rPr>
          <w:rStyle w:val="FootnoteReference"/>
          <w:rFonts w:ascii="Georgia" w:hAnsi="Georgia"/>
        </w:rPr>
        <w:footnoteReference w:id="10"/>
      </w:r>
      <w:r w:rsidRPr="00B91FC0">
        <w:rPr>
          <w:rFonts w:ascii="Georgia" w:hAnsi="Georgia"/>
        </w:rPr>
        <w:t xml:space="preserve"> Identifying duplicative and unnecessary regulatory costs is a critical factor as we work to address the critical shortage of affordable housing facing this nation.</w:t>
      </w:r>
    </w:p>
    <w:p w14:paraId="7BED0001" w14:textId="77777777" w:rsidR="00F91CD4" w:rsidRDefault="00F91CD4" w:rsidP="00391637">
      <w:pPr>
        <w:spacing w:after="0" w:line="240" w:lineRule="exact"/>
        <w:jc w:val="both"/>
        <w:rPr>
          <w:rStyle w:val="normaltextrun"/>
          <w:rFonts w:ascii="Georgia" w:hAnsi="Georgia"/>
        </w:rPr>
      </w:pPr>
    </w:p>
    <w:p w14:paraId="0F28F1FA" w14:textId="666B3F91" w:rsidR="009D320D" w:rsidRPr="00B658F0" w:rsidRDefault="00B63097" w:rsidP="00CD62E0">
      <w:pPr>
        <w:spacing w:after="0" w:line="240" w:lineRule="exact"/>
        <w:jc w:val="both"/>
        <w:rPr>
          <w:rFonts w:ascii="Georgia" w:hAnsi="Georgia"/>
        </w:rPr>
      </w:pPr>
      <w:r>
        <w:rPr>
          <w:rFonts w:ascii="Georgia" w:hAnsi="Georgia"/>
        </w:rPr>
        <w:t>While housing affordability is a significant challenge, t</w:t>
      </w:r>
      <w:r w:rsidR="00CD62E0" w:rsidRPr="00B658F0">
        <w:rPr>
          <w:rFonts w:ascii="Georgia" w:hAnsi="Georgia"/>
        </w:rPr>
        <w:t xml:space="preserve">he multifamily industry has long been at the forefront of addressing </w:t>
      </w:r>
      <w:r>
        <w:rPr>
          <w:rFonts w:ascii="Georgia" w:hAnsi="Georgia"/>
        </w:rPr>
        <w:t>this issue</w:t>
      </w:r>
      <w:r w:rsidR="00CD62E0" w:rsidRPr="00B658F0">
        <w:rPr>
          <w:rFonts w:ascii="Georgia" w:hAnsi="Georgia"/>
        </w:rPr>
        <w:t xml:space="preserve">. NMHC published its </w:t>
      </w:r>
      <w:hyperlink r:id="rId11" w:tgtFrame="_blank" w:history="1">
        <w:r w:rsidR="00CD62E0" w:rsidRPr="00B658F0">
          <w:rPr>
            <w:rStyle w:val="Hyperlink"/>
            <w:rFonts w:ascii="Georgia" w:hAnsi="Georgia"/>
            <w:color w:val="auto"/>
            <w:u w:val="none"/>
          </w:rPr>
          <w:t>Housing Affordability Toolkit</w:t>
        </w:r>
      </w:hyperlink>
      <w:r w:rsidR="00CD62E0" w:rsidRPr="00B658F0">
        <w:rPr>
          <w:rFonts w:ascii="Georgia" w:hAnsi="Georgia"/>
        </w:rPr>
        <w:t xml:space="preserve"> with HR&amp;A Advisors in 2018 with the goals of both providing background on the underlying causes of the apartment industry’s affordability crisis and providing specific tools that could be used to help defray the cost of building new apartments, allowing more units to be built at a variety of price points.</w:t>
      </w:r>
      <w:r w:rsidR="009D320D" w:rsidRPr="00B658F0">
        <w:rPr>
          <w:rStyle w:val="FootnoteReference"/>
          <w:rFonts w:ascii="Georgia" w:hAnsi="Georgia"/>
        </w:rPr>
        <w:footnoteReference w:id="11"/>
      </w:r>
      <w:r w:rsidR="00CD62E0" w:rsidRPr="00B658F0">
        <w:rPr>
          <w:rFonts w:ascii="Georgia" w:hAnsi="Georgia"/>
        </w:rPr>
        <w:t xml:space="preserve"> </w:t>
      </w:r>
    </w:p>
    <w:p w14:paraId="625CE537" w14:textId="77777777" w:rsidR="009D320D" w:rsidRPr="00B658F0" w:rsidRDefault="009D320D" w:rsidP="00CD62E0">
      <w:pPr>
        <w:spacing w:after="0" w:line="240" w:lineRule="exact"/>
        <w:jc w:val="both"/>
        <w:rPr>
          <w:rFonts w:ascii="Georgia" w:hAnsi="Georgia"/>
        </w:rPr>
      </w:pPr>
    </w:p>
    <w:p w14:paraId="58850B28" w14:textId="6BDE27BB" w:rsidR="00CD62E0" w:rsidRDefault="00CD62E0" w:rsidP="00CD62E0">
      <w:pPr>
        <w:spacing w:after="0" w:line="240" w:lineRule="exact"/>
        <w:jc w:val="both"/>
        <w:rPr>
          <w:rFonts w:ascii="Georgia" w:hAnsi="Georgia"/>
        </w:rPr>
      </w:pPr>
      <w:r w:rsidRPr="00B658F0">
        <w:rPr>
          <w:rFonts w:ascii="Georgia" w:hAnsi="Georgia"/>
        </w:rPr>
        <w:t>We cited three main reasons for the worsening affordability conditions: (1) a chronic demand/supply imbalance</w:t>
      </w:r>
      <w:r w:rsidR="008663C4" w:rsidRPr="00B658F0">
        <w:rPr>
          <w:rFonts w:ascii="Georgia" w:hAnsi="Georgia"/>
        </w:rPr>
        <w:t>;</w:t>
      </w:r>
      <w:r w:rsidRPr="00B658F0">
        <w:rPr>
          <w:rFonts w:ascii="Georgia" w:hAnsi="Georgia"/>
        </w:rPr>
        <w:t xml:space="preserve"> (2) a rise in the “lifestyle” renter (or renter by choice)</w:t>
      </w:r>
      <w:r w:rsidR="008663C4" w:rsidRPr="00B658F0">
        <w:rPr>
          <w:rFonts w:ascii="Georgia" w:hAnsi="Georgia"/>
        </w:rPr>
        <w:t>;</w:t>
      </w:r>
      <w:r w:rsidRPr="00B658F0">
        <w:rPr>
          <w:rFonts w:ascii="Georgia" w:hAnsi="Georgia"/>
        </w:rPr>
        <w:t xml:space="preserve"> and (3) an increase in overall development costs</w:t>
      </w:r>
      <w:r w:rsidR="000F7F25" w:rsidRPr="00B658F0">
        <w:rPr>
          <w:rFonts w:ascii="Georgia" w:hAnsi="Georgia"/>
        </w:rPr>
        <w:t xml:space="preserve"> including materials and regulatory compliance</w:t>
      </w:r>
      <w:r w:rsidRPr="00B658F0">
        <w:rPr>
          <w:rFonts w:ascii="Georgia" w:hAnsi="Georgia"/>
        </w:rPr>
        <w:t xml:space="preserve">. Together, these factors created a scenario </w:t>
      </w:r>
      <w:r w:rsidR="000F7F25" w:rsidRPr="00B658F0">
        <w:rPr>
          <w:rFonts w:ascii="Georgia" w:hAnsi="Georgia"/>
        </w:rPr>
        <w:t xml:space="preserve">that put the brakes on affordable housing production. It became </w:t>
      </w:r>
      <w:r w:rsidRPr="00B658F0">
        <w:rPr>
          <w:rFonts w:ascii="Georgia" w:hAnsi="Georgia"/>
        </w:rPr>
        <w:t xml:space="preserve">increasingly </w:t>
      </w:r>
      <w:r w:rsidR="000F7F25" w:rsidRPr="00B658F0">
        <w:rPr>
          <w:rFonts w:ascii="Georgia" w:hAnsi="Georgia"/>
        </w:rPr>
        <w:t xml:space="preserve">challenging to buy land and </w:t>
      </w:r>
      <w:r w:rsidR="005C5EE8" w:rsidRPr="00B658F0">
        <w:rPr>
          <w:rFonts w:ascii="Georgia" w:hAnsi="Georgia"/>
        </w:rPr>
        <w:t>build</w:t>
      </w:r>
      <w:r w:rsidR="000F7F25" w:rsidRPr="00B658F0">
        <w:rPr>
          <w:rFonts w:ascii="Georgia" w:hAnsi="Georgia"/>
        </w:rPr>
        <w:t xml:space="preserve"> a property at rates that were broadly affordable. </w:t>
      </w:r>
      <w:r w:rsidR="005C5EE8" w:rsidRPr="00B658F0">
        <w:rPr>
          <w:rFonts w:ascii="Georgia" w:hAnsi="Georgia"/>
        </w:rPr>
        <w:t>Furthermore, i</w:t>
      </w:r>
      <w:r w:rsidR="000F7F25" w:rsidRPr="00B658F0">
        <w:rPr>
          <w:rFonts w:ascii="Georgia" w:hAnsi="Georgia"/>
        </w:rPr>
        <w:t xml:space="preserve">t was exceedingly </w:t>
      </w:r>
      <w:r w:rsidR="005C5EE8" w:rsidRPr="00B658F0">
        <w:rPr>
          <w:rFonts w:ascii="Georgia" w:hAnsi="Georgia"/>
        </w:rPr>
        <w:t>difficult for</w:t>
      </w:r>
      <w:r w:rsidRPr="00B658F0">
        <w:rPr>
          <w:rFonts w:ascii="Georgia" w:hAnsi="Georgia"/>
        </w:rPr>
        <w:t xml:space="preserve"> lower-income renter households to find an apartment without becoming cost-burdened. In the time since the publication of the Affordability Toolkit, there has been a pandemic-induced economic downturn, one that </w:t>
      </w:r>
      <w:hyperlink r:id="rId12" w:history="1">
        <w:r w:rsidRPr="00B658F0">
          <w:rPr>
            <w:rStyle w:val="Hyperlink"/>
            <w:rFonts w:ascii="Georgia" w:hAnsi="Georgia"/>
            <w:color w:val="auto"/>
            <w:u w:val="none"/>
          </w:rPr>
          <w:t>put lower-income apartment residents particularly at risk financially</w:t>
        </w:r>
      </w:hyperlink>
      <w:r w:rsidRPr="00B658F0">
        <w:rPr>
          <w:rFonts w:ascii="Georgia" w:hAnsi="Georgia"/>
        </w:rPr>
        <w:t>.</w:t>
      </w:r>
      <w:r w:rsidRPr="00B658F0">
        <w:rPr>
          <w:rStyle w:val="FootnoteReference"/>
          <w:rFonts w:ascii="Georgia" w:hAnsi="Georgia"/>
        </w:rPr>
        <w:footnoteReference w:id="12"/>
      </w:r>
      <w:r w:rsidRPr="00B658F0">
        <w:rPr>
          <w:rFonts w:ascii="Georgia" w:hAnsi="Georgia"/>
        </w:rPr>
        <w:t xml:space="preserve"> </w:t>
      </w:r>
    </w:p>
    <w:p w14:paraId="44A71B7B" w14:textId="59D622E9" w:rsidR="00E03D0D" w:rsidRDefault="00E03D0D" w:rsidP="00CD62E0">
      <w:pPr>
        <w:spacing w:after="0" w:line="240" w:lineRule="exact"/>
        <w:jc w:val="both"/>
        <w:rPr>
          <w:rFonts w:ascii="Georgia" w:hAnsi="Georgia"/>
        </w:rPr>
      </w:pPr>
    </w:p>
    <w:p w14:paraId="07062DB3" w14:textId="20E6778E" w:rsidR="00E03D0D" w:rsidRPr="004F7EC1" w:rsidRDefault="005A137E" w:rsidP="00CD62E0">
      <w:pPr>
        <w:spacing w:after="0" w:line="240" w:lineRule="exact"/>
        <w:jc w:val="both"/>
        <w:rPr>
          <w:rFonts w:ascii="Georgia" w:hAnsi="Georgia"/>
          <w:b/>
          <w:bCs/>
        </w:rPr>
      </w:pPr>
      <w:r>
        <w:rPr>
          <w:rFonts w:ascii="Georgia" w:hAnsi="Georgia"/>
          <w:b/>
          <w:bCs/>
        </w:rPr>
        <w:t xml:space="preserve">TAX POLICY CAN PLAY A KEY ROLE IN PROMOTING HOUSING </w:t>
      </w:r>
      <w:r w:rsidR="00511843">
        <w:rPr>
          <w:rFonts w:ascii="Georgia" w:hAnsi="Georgia"/>
          <w:b/>
          <w:bCs/>
        </w:rPr>
        <w:t>SUPPLY</w:t>
      </w:r>
    </w:p>
    <w:p w14:paraId="2B6108E2" w14:textId="0309E71D" w:rsidR="00CD62E0" w:rsidRPr="00B658F0" w:rsidRDefault="00CD62E0" w:rsidP="000559A3">
      <w:pPr>
        <w:spacing w:after="0" w:line="240" w:lineRule="exact"/>
        <w:jc w:val="both"/>
        <w:rPr>
          <w:rFonts w:ascii="Georgia" w:hAnsi="Georgia"/>
        </w:rPr>
      </w:pPr>
      <w:r w:rsidRPr="00B658F0">
        <w:rPr>
          <w:rFonts w:ascii="Georgia" w:hAnsi="Georgia"/>
        </w:rPr>
        <w:t xml:space="preserve"> </w:t>
      </w:r>
      <w:r w:rsidR="000559A3" w:rsidRPr="00B658F0">
        <w:rPr>
          <w:rFonts w:ascii="Georgia" w:hAnsi="Georgia"/>
        </w:rPr>
        <w:t xml:space="preserve">  </w:t>
      </w:r>
    </w:p>
    <w:p w14:paraId="5701BFF4" w14:textId="608CEE79" w:rsidR="00BE39C7" w:rsidRPr="00B658F0" w:rsidRDefault="008663C4" w:rsidP="00BE39C7">
      <w:pPr>
        <w:spacing w:after="0" w:line="240" w:lineRule="exact"/>
        <w:jc w:val="both"/>
        <w:rPr>
          <w:rFonts w:ascii="Georgia" w:hAnsi="Georgia"/>
        </w:rPr>
      </w:pPr>
      <w:r w:rsidRPr="00B658F0">
        <w:rPr>
          <w:rFonts w:ascii="Georgia" w:hAnsi="Georgia"/>
        </w:rPr>
        <w:t>The multifamily industry wishes to work with Congress and the Biden Administration</w:t>
      </w:r>
      <w:r w:rsidR="000124A6">
        <w:rPr>
          <w:rFonts w:ascii="Georgia" w:hAnsi="Georgia"/>
        </w:rPr>
        <w:t xml:space="preserve">, which </w:t>
      </w:r>
      <w:r w:rsidR="004D3C0E">
        <w:rPr>
          <w:rFonts w:ascii="Georgia" w:hAnsi="Georgia"/>
        </w:rPr>
        <w:t xml:space="preserve">in May released a thoughtful </w:t>
      </w:r>
      <w:r w:rsidR="00E74479">
        <w:rPr>
          <w:rFonts w:ascii="Georgia" w:hAnsi="Georgia"/>
          <w:i/>
          <w:iCs/>
        </w:rPr>
        <w:t>Housing Supply Action Plan,</w:t>
      </w:r>
      <w:r w:rsidRPr="00B658F0">
        <w:rPr>
          <w:rFonts w:ascii="Georgia" w:hAnsi="Georgia"/>
        </w:rPr>
        <w:t xml:space="preserve"> to address these challenges.</w:t>
      </w:r>
      <w:r w:rsidR="00A33DAD">
        <w:rPr>
          <w:rStyle w:val="FootnoteReference"/>
          <w:rFonts w:ascii="Georgia" w:hAnsi="Georgia"/>
        </w:rPr>
        <w:footnoteReference w:id="13"/>
      </w:r>
      <w:r w:rsidR="001A427A" w:rsidRPr="00B658F0">
        <w:rPr>
          <w:rFonts w:ascii="Georgia" w:hAnsi="Georgia"/>
        </w:rPr>
        <w:t xml:space="preserve"> </w:t>
      </w:r>
      <w:r w:rsidR="007C4DA1">
        <w:rPr>
          <w:rFonts w:ascii="Georgia" w:hAnsi="Georgia"/>
        </w:rPr>
        <w:t xml:space="preserve">While it will take a variety of </w:t>
      </w:r>
      <w:r w:rsidR="00100EB0">
        <w:rPr>
          <w:rFonts w:ascii="Georgia" w:hAnsi="Georgia"/>
        </w:rPr>
        <w:t xml:space="preserve">tax and non-tax </w:t>
      </w:r>
      <w:r w:rsidR="007C4DA1">
        <w:rPr>
          <w:rFonts w:ascii="Georgia" w:hAnsi="Georgia"/>
        </w:rPr>
        <w:t xml:space="preserve">approaches </w:t>
      </w:r>
      <w:r w:rsidR="00761AF2">
        <w:rPr>
          <w:rFonts w:ascii="Georgia" w:hAnsi="Georgia"/>
        </w:rPr>
        <w:t>to increase supply, we believe tax policy can play a critical role</w:t>
      </w:r>
      <w:r w:rsidR="00C72F84">
        <w:rPr>
          <w:rFonts w:ascii="Georgia" w:hAnsi="Georgia"/>
        </w:rPr>
        <w:t xml:space="preserve"> in this regard</w:t>
      </w:r>
      <w:r w:rsidR="00761AF2">
        <w:rPr>
          <w:rFonts w:ascii="Georgia" w:hAnsi="Georgia"/>
        </w:rPr>
        <w:t>.</w:t>
      </w:r>
      <w:r w:rsidR="00C72F84">
        <w:rPr>
          <w:rFonts w:ascii="Georgia" w:hAnsi="Georgia"/>
        </w:rPr>
        <w:t xml:space="preserve"> </w:t>
      </w:r>
      <w:r w:rsidR="00BF2335" w:rsidRPr="00B658F0">
        <w:rPr>
          <w:rFonts w:ascii="Georgia" w:hAnsi="Georgia"/>
        </w:rPr>
        <w:t>To this end, w</w:t>
      </w:r>
      <w:r w:rsidR="00076305" w:rsidRPr="00B658F0">
        <w:rPr>
          <w:rFonts w:ascii="Georgia" w:hAnsi="Georgia"/>
        </w:rPr>
        <w:t xml:space="preserve">e </w:t>
      </w:r>
      <w:r w:rsidR="00690682" w:rsidRPr="00B658F0">
        <w:rPr>
          <w:rFonts w:ascii="Georgia" w:hAnsi="Georgia"/>
        </w:rPr>
        <w:t>strongly urge</w:t>
      </w:r>
      <w:r w:rsidR="00076305" w:rsidRPr="00B658F0">
        <w:rPr>
          <w:rFonts w:ascii="Georgia" w:hAnsi="Georgia"/>
        </w:rPr>
        <w:t xml:space="preserve"> Congress to</w:t>
      </w:r>
      <w:r w:rsidR="00CB525A">
        <w:rPr>
          <w:rFonts w:ascii="Georgia" w:hAnsi="Georgia"/>
        </w:rPr>
        <w:t>:</w:t>
      </w:r>
    </w:p>
    <w:p w14:paraId="79B830FF" w14:textId="1CBB3EAB" w:rsidR="00076305" w:rsidRPr="00B658F0" w:rsidRDefault="00076305" w:rsidP="003D4A6E">
      <w:pPr>
        <w:spacing w:after="0" w:line="240" w:lineRule="exact"/>
        <w:jc w:val="both"/>
        <w:rPr>
          <w:rFonts w:ascii="Georgia" w:hAnsi="Georgia"/>
        </w:rPr>
      </w:pPr>
    </w:p>
    <w:p w14:paraId="23D54291" w14:textId="3800E981" w:rsidR="00BF2335" w:rsidRPr="00B658F0" w:rsidRDefault="00BF2335" w:rsidP="003D4A6E">
      <w:pPr>
        <w:pStyle w:val="ListParagraph"/>
        <w:numPr>
          <w:ilvl w:val="0"/>
          <w:numId w:val="1"/>
        </w:numPr>
        <w:spacing w:after="0" w:line="240" w:lineRule="exact"/>
        <w:jc w:val="both"/>
        <w:rPr>
          <w:rFonts w:ascii="Georgia" w:hAnsi="Georgia"/>
        </w:rPr>
      </w:pPr>
      <w:r w:rsidRPr="00B658F0">
        <w:rPr>
          <w:rFonts w:ascii="Georgia" w:hAnsi="Georgia"/>
        </w:rPr>
        <w:t>Expand and enhanc</w:t>
      </w:r>
      <w:r w:rsidR="00CB525A">
        <w:rPr>
          <w:rFonts w:ascii="Georgia" w:hAnsi="Georgia"/>
        </w:rPr>
        <w:t>e</w:t>
      </w:r>
      <w:r w:rsidRPr="00B658F0">
        <w:rPr>
          <w:rFonts w:ascii="Georgia" w:hAnsi="Georgia"/>
        </w:rPr>
        <w:t xml:space="preserve"> the Low-Income Housing Tax Credit</w:t>
      </w:r>
      <w:r w:rsidR="005D2D0F" w:rsidRPr="00B658F0">
        <w:rPr>
          <w:rFonts w:ascii="Georgia" w:hAnsi="Georgia"/>
        </w:rPr>
        <w:t>;</w:t>
      </w:r>
    </w:p>
    <w:p w14:paraId="5A59A8DE" w14:textId="1A2AE36B" w:rsidR="00076305" w:rsidRPr="00B658F0" w:rsidRDefault="00BF2335" w:rsidP="003D4A6E">
      <w:pPr>
        <w:pStyle w:val="ListParagraph"/>
        <w:numPr>
          <w:ilvl w:val="0"/>
          <w:numId w:val="1"/>
        </w:numPr>
        <w:spacing w:after="0" w:line="240" w:lineRule="exact"/>
        <w:jc w:val="both"/>
        <w:rPr>
          <w:rFonts w:ascii="Georgia" w:hAnsi="Georgia"/>
        </w:rPr>
      </w:pPr>
      <w:r w:rsidRPr="00B658F0">
        <w:rPr>
          <w:rFonts w:ascii="Georgia" w:hAnsi="Georgia"/>
        </w:rPr>
        <w:t>Enact the Middle-Income Housing Tax Credit</w:t>
      </w:r>
      <w:r w:rsidR="005D2D0F" w:rsidRPr="00B658F0">
        <w:rPr>
          <w:rFonts w:ascii="Georgia" w:hAnsi="Georgia"/>
        </w:rPr>
        <w:t xml:space="preserve"> to support workforce housing;</w:t>
      </w:r>
    </w:p>
    <w:p w14:paraId="699516FD" w14:textId="38B30979" w:rsidR="005D2D0F" w:rsidRDefault="005D2D0F" w:rsidP="003D4A6E">
      <w:pPr>
        <w:pStyle w:val="ListParagraph"/>
        <w:numPr>
          <w:ilvl w:val="0"/>
          <w:numId w:val="1"/>
        </w:numPr>
        <w:spacing w:after="0" w:line="240" w:lineRule="exact"/>
        <w:jc w:val="both"/>
        <w:rPr>
          <w:rFonts w:ascii="Georgia" w:hAnsi="Georgia"/>
        </w:rPr>
      </w:pPr>
      <w:r w:rsidRPr="00B658F0">
        <w:rPr>
          <w:rFonts w:ascii="Georgia" w:hAnsi="Georgia"/>
        </w:rPr>
        <w:t>Enhanc</w:t>
      </w:r>
      <w:r w:rsidR="005A5C06">
        <w:rPr>
          <w:rFonts w:ascii="Georgia" w:hAnsi="Georgia"/>
        </w:rPr>
        <w:t>e</w:t>
      </w:r>
      <w:r w:rsidRPr="00B658F0">
        <w:rPr>
          <w:rFonts w:ascii="Georgia" w:hAnsi="Georgia"/>
        </w:rPr>
        <w:t xml:space="preserve"> Opportunity Zones to</w:t>
      </w:r>
      <w:r w:rsidR="00D23AE4" w:rsidRPr="00B658F0">
        <w:rPr>
          <w:rFonts w:ascii="Georgia" w:hAnsi="Georgia"/>
        </w:rPr>
        <w:t xml:space="preserve"> </w:t>
      </w:r>
      <w:r w:rsidR="00B733ED" w:rsidRPr="00B658F0">
        <w:rPr>
          <w:rFonts w:ascii="Georgia" w:hAnsi="Georgia"/>
        </w:rPr>
        <w:t>incentivize</w:t>
      </w:r>
      <w:r w:rsidR="00D23AE4" w:rsidRPr="00B658F0">
        <w:rPr>
          <w:rFonts w:ascii="Georgia" w:hAnsi="Georgia"/>
        </w:rPr>
        <w:t xml:space="preserve"> the rehabilitation </w:t>
      </w:r>
      <w:r w:rsidR="00984796" w:rsidRPr="00B658F0">
        <w:rPr>
          <w:rFonts w:ascii="Georgia" w:hAnsi="Georgia"/>
        </w:rPr>
        <w:t xml:space="preserve">and preservation </w:t>
      </w:r>
      <w:r w:rsidR="00D23AE4" w:rsidRPr="00B658F0">
        <w:rPr>
          <w:rFonts w:ascii="Georgia" w:hAnsi="Georgia"/>
        </w:rPr>
        <w:t xml:space="preserve">of </w:t>
      </w:r>
      <w:r w:rsidR="00984796" w:rsidRPr="00B658F0">
        <w:rPr>
          <w:rFonts w:ascii="Georgia" w:hAnsi="Georgia"/>
        </w:rPr>
        <w:t xml:space="preserve">multifamily </w:t>
      </w:r>
      <w:r w:rsidR="00D23AE4" w:rsidRPr="00B658F0">
        <w:rPr>
          <w:rFonts w:ascii="Georgia" w:hAnsi="Georgia"/>
        </w:rPr>
        <w:t>buildings</w:t>
      </w:r>
      <w:r w:rsidRPr="00B658F0">
        <w:rPr>
          <w:rFonts w:ascii="Georgia" w:hAnsi="Georgia"/>
        </w:rPr>
        <w:t>;</w:t>
      </w:r>
    </w:p>
    <w:p w14:paraId="477F34CF" w14:textId="53D88195" w:rsidR="004E6DC2" w:rsidRPr="00B658F0" w:rsidRDefault="004E6DC2" w:rsidP="003D4A6E">
      <w:pPr>
        <w:pStyle w:val="ListParagraph"/>
        <w:numPr>
          <w:ilvl w:val="0"/>
          <w:numId w:val="1"/>
        </w:numPr>
        <w:spacing w:after="0" w:line="240" w:lineRule="exact"/>
        <w:jc w:val="both"/>
        <w:rPr>
          <w:rFonts w:ascii="Georgia" w:hAnsi="Georgia"/>
        </w:rPr>
      </w:pPr>
      <w:r>
        <w:rPr>
          <w:rFonts w:ascii="Georgia" w:hAnsi="Georgia"/>
        </w:rPr>
        <w:t xml:space="preserve">Encourage </w:t>
      </w:r>
      <w:r w:rsidR="00CE585D">
        <w:rPr>
          <w:rFonts w:ascii="Georgia" w:hAnsi="Georgia"/>
        </w:rPr>
        <w:t>the adaptive reuse of underutilized</w:t>
      </w:r>
      <w:r w:rsidR="00340019">
        <w:rPr>
          <w:rFonts w:ascii="Georgia" w:hAnsi="Georgia"/>
        </w:rPr>
        <w:t xml:space="preserve"> commercial</w:t>
      </w:r>
      <w:r w:rsidR="00CE585D">
        <w:rPr>
          <w:rFonts w:ascii="Georgia" w:hAnsi="Georgia"/>
        </w:rPr>
        <w:t xml:space="preserve"> properties into multifamily housing</w:t>
      </w:r>
      <w:r w:rsidR="00340019">
        <w:rPr>
          <w:rFonts w:ascii="Georgia" w:hAnsi="Georgia"/>
        </w:rPr>
        <w:t>;</w:t>
      </w:r>
    </w:p>
    <w:p w14:paraId="1E55C791" w14:textId="69139FDD" w:rsidR="00E80A79" w:rsidRPr="00B658F0" w:rsidRDefault="00E80A79" w:rsidP="003D4A6E">
      <w:pPr>
        <w:pStyle w:val="ListParagraph"/>
        <w:numPr>
          <w:ilvl w:val="0"/>
          <w:numId w:val="1"/>
        </w:numPr>
        <w:spacing w:after="0" w:line="240" w:lineRule="exact"/>
        <w:jc w:val="both"/>
        <w:rPr>
          <w:rFonts w:ascii="Georgia" w:hAnsi="Georgia"/>
        </w:rPr>
      </w:pPr>
      <w:r w:rsidRPr="00B658F0">
        <w:rPr>
          <w:rFonts w:ascii="Georgia" w:hAnsi="Georgia"/>
        </w:rPr>
        <w:t>Promot</w:t>
      </w:r>
      <w:r w:rsidR="005A5C06">
        <w:rPr>
          <w:rFonts w:ascii="Georgia" w:hAnsi="Georgia"/>
        </w:rPr>
        <w:t>e</w:t>
      </w:r>
      <w:r w:rsidRPr="00B658F0">
        <w:rPr>
          <w:rFonts w:ascii="Georgia" w:hAnsi="Georgia"/>
        </w:rPr>
        <w:t xml:space="preserve"> the rehabilitation of multifamily housing located near transit;</w:t>
      </w:r>
      <w:r w:rsidR="00392802">
        <w:rPr>
          <w:rFonts w:ascii="Georgia" w:hAnsi="Georgia"/>
        </w:rPr>
        <w:t xml:space="preserve"> and</w:t>
      </w:r>
    </w:p>
    <w:p w14:paraId="4B2C31C3" w14:textId="2D4453CC" w:rsidR="007B5768" w:rsidRPr="00B658F0" w:rsidRDefault="007353C3" w:rsidP="003D4A6E">
      <w:pPr>
        <w:pStyle w:val="ListParagraph"/>
        <w:numPr>
          <w:ilvl w:val="0"/>
          <w:numId w:val="1"/>
        </w:numPr>
        <w:spacing w:after="0" w:line="240" w:lineRule="exact"/>
        <w:jc w:val="both"/>
        <w:rPr>
          <w:rFonts w:ascii="Georgia" w:hAnsi="Georgia"/>
        </w:rPr>
      </w:pPr>
      <w:r w:rsidRPr="00B658F0">
        <w:rPr>
          <w:rFonts w:ascii="Georgia" w:hAnsi="Georgia"/>
        </w:rPr>
        <w:t xml:space="preserve">Support </w:t>
      </w:r>
      <w:r w:rsidR="00D23AE4" w:rsidRPr="00B658F0">
        <w:rPr>
          <w:rFonts w:ascii="Georgia" w:hAnsi="Georgia"/>
        </w:rPr>
        <w:t>measures to help property owners retrofit properties to meet building performance goals in line with our national climate policy</w:t>
      </w:r>
      <w:r w:rsidR="00B733ED" w:rsidRPr="00B658F0">
        <w:rPr>
          <w:rFonts w:ascii="Georgia" w:hAnsi="Georgia"/>
        </w:rPr>
        <w:t>.</w:t>
      </w:r>
      <w:r w:rsidR="00D23AE4" w:rsidRPr="00B658F0">
        <w:rPr>
          <w:rFonts w:ascii="Georgia" w:hAnsi="Georgia"/>
        </w:rPr>
        <w:t xml:space="preserve"> </w:t>
      </w:r>
    </w:p>
    <w:p w14:paraId="0F94F859" w14:textId="25148501" w:rsidR="007B5768" w:rsidRPr="00B658F0" w:rsidRDefault="007B5768" w:rsidP="003D4A6E">
      <w:pPr>
        <w:spacing w:after="0" w:line="240" w:lineRule="exact"/>
        <w:jc w:val="both"/>
        <w:rPr>
          <w:rFonts w:ascii="Georgia" w:hAnsi="Georgia"/>
        </w:rPr>
      </w:pPr>
    </w:p>
    <w:p w14:paraId="1F3F2AD7" w14:textId="4BBC9077" w:rsidR="007B5768" w:rsidRPr="00B658F0" w:rsidRDefault="007B5768" w:rsidP="003D4A6E">
      <w:pPr>
        <w:spacing w:after="0" w:line="240" w:lineRule="exact"/>
        <w:jc w:val="both"/>
        <w:rPr>
          <w:rFonts w:ascii="Georgia" w:hAnsi="Georgia"/>
        </w:rPr>
      </w:pPr>
      <w:r w:rsidRPr="00B658F0">
        <w:rPr>
          <w:rFonts w:ascii="Georgia" w:hAnsi="Georgia"/>
        </w:rPr>
        <w:t xml:space="preserve">Each of these proposals </w:t>
      </w:r>
      <w:r w:rsidR="005A03AA" w:rsidRPr="00B658F0">
        <w:rPr>
          <w:rFonts w:ascii="Georgia" w:hAnsi="Georgia"/>
        </w:rPr>
        <w:t xml:space="preserve">is </w:t>
      </w:r>
      <w:r w:rsidRPr="00B658F0">
        <w:rPr>
          <w:rFonts w:ascii="Georgia" w:hAnsi="Georgia"/>
        </w:rPr>
        <w:t>briefly described in the pages that follow, and we note that many have bipartisan support.</w:t>
      </w:r>
    </w:p>
    <w:p w14:paraId="5A5AD545" w14:textId="69B4AF46" w:rsidR="007B5768" w:rsidRPr="00B658F0" w:rsidRDefault="007B5768" w:rsidP="003D4A6E">
      <w:pPr>
        <w:spacing w:after="0" w:line="240" w:lineRule="exact"/>
        <w:jc w:val="both"/>
        <w:rPr>
          <w:rFonts w:ascii="Georgia" w:hAnsi="Georgia"/>
        </w:rPr>
      </w:pPr>
    </w:p>
    <w:p w14:paraId="66E548C8" w14:textId="5AE5CDD8" w:rsidR="000E395B" w:rsidRDefault="000E395B" w:rsidP="003D4A6E">
      <w:pPr>
        <w:spacing w:after="0" w:line="240" w:lineRule="exact"/>
        <w:jc w:val="both"/>
        <w:rPr>
          <w:rFonts w:ascii="Georgia" w:hAnsi="Georgia"/>
        </w:rPr>
      </w:pPr>
    </w:p>
    <w:p w14:paraId="384CC920" w14:textId="77777777" w:rsidR="004F7EC1" w:rsidRDefault="004F7EC1" w:rsidP="003D4A6E">
      <w:pPr>
        <w:spacing w:after="0" w:line="240" w:lineRule="exact"/>
        <w:jc w:val="both"/>
        <w:rPr>
          <w:rFonts w:ascii="Georgia" w:hAnsi="Georgia"/>
          <w:b/>
          <w:bCs/>
        </w:rPr>
      </w:pPr>
    </w:p>
    <w:p w14:paraId="3CB02A62" w14:textId="7E36DD6D" w:rsidR="00076305" w:rsidRPr="00B658F0" w:rsidRDefault="005A137E" w:rsidP="003D4A6E">
      <w:pPr>
        <w:spacing w:after="0" w:line="240" w:lineRule="exact"/>
        <w:jc w:val="both"/>
        <w:rPr>
          <w:rFonts w:ascii="Georgia" w:hAnsi="Georgia"/>
          <w:b/>
          <w:bCs/>
          <w:i/>
          <w:iCs/>
        </w:rPr>
      </w:pPr>
      <w:r>
        <w:rPr>
          <w:rFonts w:ascii="Georgia" w:hAnsi="Georgia"/>
          <w:b/>
          <w:bCs/>
        </w:rPr>
        <w:lastRenderedPageBreak/>
        <w:t xml:space="preserve">OVERVIEW OF </w:t>
      </w:r>
      <w:r w:rsidR="007B5768" w:rsidRPr="00B658F0">
        <w:rPr>
          <w:rFonts w:ascii="Georgia" w:hAnsi="Georgia"/>
          <w:b/>
          <w:bCs/>
        </w:rPr>
        <w:t>PROPOSALS TO SUPPORT THE DEVELOPMENT AND PRESERVATION OF MULTIFAMILY HOUSING</w:t>
      </w:r>
      <w:r w:rsidR="00076305" w:rsidRPr="00B658F0">
        <w:rPr>
          <w:rFonts w:ascii="Georgia" w:hAnsi="Georgia"/>
          <w:b/>
          <w:bCs/>
          <w:i/>
          <w:iCs/>
        </w:rPr>
        <w:t xml:space="preserve"> </w:t>
      </w:r>
    </w:p>
    <w:p w14:paraId="533731CB" w14:textId="77777777" w:rsidR="00076305" w:rsidRPr="00B658F0" w:rsidRDefault="00076305" w:rsidP="003D4A6E">
      <w:pPr>
        <w:spacing w:after="0" w:line="240" w:lineRule="exact"/>
        <w:jc w:val="both"/>
        <w:rPr>
          <w:rFonts w:ascii="Georgia" w:hAnsi="Georgia"/>
        </w:rPr>
      </w:pPr>
    </w:p>
    <w:p w14:paraId="2EC5544A" w14:textId="25D7B255" w:rsidR="005F1027" w:rsidRPr="00B658F0" w:rsidRDefault="007A45C1" w:rsidP="005F1027">
      <w:pPr>
        <w:spacing w:after="0" w:line="240" w:lineRule="exact"/>
        <w:jc w:val="both"/>
        <w:rPr>
          <w:rFonts w:ascii="Georgia" w:eastAsia="Times New Roman" w:hAnsi="Georgia" w:cs="Times New Roman"/>
          <w:i/>
          <w:iCs/>
          <w:sz w:val="24"/>
          <w:szCs w:val="24"/>
        </w:rPr>
      </w:pPr>
      <w:r w:rsidRPr="00B658F0">
        <w:rPr>
          <w:rFonts w:ascii="Georgia" w:hAnsi="Georgia"/>
          <w:i/>
          <w:iCs/>
        </w:rPr>
        <w:t xml:space="preserve">Housing production is not a </w:t>
      </w:r>
      <w:r w:rsidR="006F31D2" w:rsidRPr="00B658F0">
        <w:rPr>
          <w:rFonts w:ascii="Georgia" w:hAnsi="Georgia"/>
          <w:i/>
          <w:iCs/>
        </w:rPr>
        <w:t>zero-sum</w:t>
      </w:r>
      <w:r w:rsidRPr="00B658F0">
        <w:rPr>
          <w:rFonts w:ascii="Georgia" w:hAnsi="Georgia"/>
          <w:i/>
          <w:iCs/>
        </w:rPr>
        <w:t xml:space="preserve"> game</w:t>
      </w:r>
      <w:r w:rsidR="007B505D" w:rsidRPr="00B658F0">
        <w:rPr>
          <w:rFonts w:ascii="Georgia" w:hAnsi="Georgia"/>
          <w:i/>
          <w:iCs/>
        </w:rPr>
        <w:t xml:space="preserve">; we need to produce housing at prices that are broadly affordable across the income </w:t>
      </w:r>
      <w:r w:rsidR="00C3272B" w:rsidRPr="00B658F0">
        <w:rPr>
          <w:rFonts w:ascii="Georgia" w:hAnsi="Georgia"/>
          <w:i/>
          <w:iCs/>
        </w:rPr>
        <w:t>spectrum.</w:t>
      </w:r>
      <w:r w:rsidRPr="00B658F0">
        <w:rPr>
          <w:rFonts w:ascii="Georgia" w:hAnsi="Georgia"/>
          <w:i/>
          <w:iCs/>
        </w:rPr>
        <w:t xml:space="preserve"> </w:t>
      </w:r>
      <w:r w:rsidR="00CB63D7" w:rsidRPr="00B658F0">
        <w:rPr>
          <w:rFonts w:ascii="Georgia" w:hAnsi="Georgia"/>
          <w:i/>
          <w:iCs/>
        </w:rPr>
        <w:t>Our nation</w:t>
      </w:r>
      <w:r w:rsidR="00C3272B" w:rsidRPr="00B658F0">
        <w:rPr>
          <w:rFonts w:ascii="Georgia" w:hAnsi="Georgia"/>
          <w:i/>
          <w:iCs/>
        </w:rPr>
        <w:t>’</w:t>
      </w:r>
      <w:r w:rsidR="00CB63D7" w:rsidRPr="00B658F0">
        <w:rPr>
          <w:rFonts w:ascii="Georgia" w:hAnsi="Georgia"/>
          <w:i/>
          <w:iCs/>
        </w:rPr>
        <w:t xml:space="preserve">s supply of multifamily properties is aging. </w:t>
      </w:r>
      <w:r w:rsidR="006F31D2" w:rsidRPr="00B658F0">
        <w:rPr>
          <w:rFonts w:ascii="Georgia" w:hAnsi="Georgia"/>
          <w:i/>
          <w:iCs/>
        </w:rPr>
        <w:t>In fact,</w:t>
      </w:r>
      <w:r w:rsidR="00CB63D7" w:rsidRPr="00B658F0">
        <w:rPr>
          <w:rFonts w:ascii="Georgia" w:hAnsi="Georgia"/>
          <w:i/>
          <w:iCs/>
        </w:rPr>
        <w:t xml:space="preserve"> </w:t>
      </w:r>
      <w:r w:rsidR="00BF45E9">
        <w:rPr>
          <w:rFonts w:ascii="Georgia" w:hAnsi="Georgia"/>
          <w:i/>
          <w:iCs/>
        </w:rPr>
        <w:t>46 percent of apartment units were built prior to 1980</w:t>
      </w:r>
      <w:r w:rsidR="002D098A">
        <w:rPr>
          <w:rFonts w:ascii="Georgia" w:hAnsi="Georgia"/>
          <w:i/>
          <w:iCs/>
        </w:rPr>
        <w:t>,</w:t>
      </w:r>
      <w:r w:rsidR="00BF45E9">
        <w:rPr>
          <w:rFonts w:ascii="Georgia" w:hAnsi="Georgia"/>
          <w:i/>
          <w:iCs/>
        </w:rPr>
        <w:t xml:space="preserve"> and </w:t>
      </w:r>
      <w:r w:rsidRPr="00B658F0">
        <w:rPr>
          <w:rFonts w:ascii="Georgia" w:hAnsi="Georgia"/>
          <w:i/>
          <w:iCs/>
        </w:rPr>
        <w:t>76</w:t>
      </w:r>
      <w:r w:rsidR="006F31D2" w:rsidRPr="00B658F0">
        <w:rPr>
          <w:rFonts w:ascii="Georgia" w:hAnsi="Georgia"/>
          <w:i/>
          <w:iCs/>
        </w:rPr>
        <w:t xml:space="preserve"> percent</w:t>
      </w:r>
      <w:r w:rsidR="00CB63D7" w:rsidRPr="00B658F0">
        <w:rPr>
          <w:rFonts w:ascii="Georgia" w:hAnsi="Georgia"/>
          <w:i/>
          <w:iCs/>
        </w:rPr>
        <w:t xml:space="preserve"> </w:t>
      </w:r>
      <w:r w:rsidR="00BF45E9">
        <w:rPr>
          <w:rFonts w:ascii="Georgia" w:hAnsi="Georgia"/>
          <w:i/>
          <w:iCs/>
        </w:rPr>
        <w:t>were</w:t>
      </w:r>
      <w:r w:rsidR="001E168F">
        <w:rPr>
          <w:rFonts w:ascii="Georgia" w:hAnsi="Georgia"/>
          <w:i/>
          <w:iCs/>
        </w:rPr>
        <w:t xml:space="preserve"> built prior to 2000</w:t>
      </w:r>
      <w:r w:rsidRPr="00B658F0">
        <w:rPr>
          <w:rFonts w:ascii="Georgia" w:hAnsi="Georgia"/>
          <w:i/>
          <w:iCs/>
        </w:rPr>
        <w:t>.</w:t>
      </w:r>
      <w:r w:rsidRPr="00B658F0">
        <w:rPr>
          <w:rStyle w:val="FootnoteReference"/>
          <w:rFonts w:ascii="Georgia" w:hAnsi="Georgia"/>
          <w:i/>
          <w:iCs/>
        </w:rPr>
        <w:footnoteReference w:id="14"/>
      </w:r>
      <w:r w:rsidRPr="00B658F0">
        <w:rPr>
          <w:rFonts w:ascii="Georgia" w:hAnsi="Georgia"/>
          <w:i/>
          <w:iCs/>
        </w:rPr>
        <w:t xml:space="preserve"> </w:t>
      </w:r>
      <w:r w:rsidR="007344C5" w:rsidRPr="0086425B">
        <w:rPr>
          <w:rFonts w:ascii="Georgia" w:eastAsia="Times New Roman" w:hAnsi="Georgia" w:cs="Times New Roman"/>
          <w:i/>
          <w:iCs/>
        </w:rPr>
        <w:t xml:space="preserve">The country </w:t>
      </w:r>
      <w:r w:rsidR="006F31D2" w:rsidRPr="0086425B">
        <w:rPr>
          <w:rFonts w:ascii="Georgia" w:eastAsia="Times New Roman" w:hAnsi="Georgia" w:cs="Times New Roman"/>
          <w:i/>
          <w:iCs/>
        </w:rPr>
        <w:t xml:space="preserve">must </w:t>
      </w:r>
      <w:r w:rsidR="007344C5" w:rsidRPr="0086425B">
        <w:rPr>
          <w:rFonts w:ascii="Georgia" w:eastAsia="Times New Roman" w:hAnsi="Georgia" w:cs="Times New Roman"/>
          <w:i/>
          <w:iCs/>
        </w:rPr>
        <w:t xml:space="preserve">build </w:t>
      </w:r>
      <w:r w:rsidR="003F3E97">
        <w:rPr>
          <w:rFonts w:ascii="Georgia" w:eastAsia="Times New Roman" w:hAnsi="Georgia" w:cs="Times New Roman"/>
          <w:i/>
          <w:iCs/>
        </w:rPr>
        <w:t>4.3 million</w:t>
      </w:r>
      <w:r w:rsidR="003F3E97" w:rsidRPr="0086425B">
        <w:rPr>
          <w:rFonts w:ascii="Georgia" w:eastAsia="Times New Roman" w:hAnsi="Georgia" w:cs="Times New Roman"/>
          <w:i/>
          <w:iCs/>
        </w:rPr>
        <w:t xml:space="preserve"> new apartment homes </w:t>
      </w:r>
      <w:r w:rsidR="003F3E97">
        <w:rPr>
          <w:rFonts w:ascii="Georgia" w:eastAsia="Times New Roman" w:hAnsi="Georgia" w:cs="Times New Roman"/>
          <w:i/>
          <w:iCs/>
        </w:rPr>
        <w:t>by 2035</w:t>
      </w:r>
      <w:r w:rsidR="003F3E97" w:rsidRPr="0086425B">
        <w:rPr>
          <w:rFonts w:ascii="Georgia" w:eastAsia="Times New Roman" w:hAnsi="Georgia" w:cs="Times New Roman"/>
          <w:i/>
          <w:iCs/>
        </w:rPr>
        <w:t xml:space="preserve"> to meet </w:t>
      </w:r>
      <w:r w:rsidR="003F3E97">
        <w:rPr>
          <w:rFonts w:ascii="Georgia" w:eastAsia="Times New Roman" w:hAnsi="Georgia" w:cs="Times New Roman"/>
          <w:i/>
          <w:iCs/>
        </w:rPr>
        <w:t xml:space="preserve">both </w:t>
      </w:r>
      <w:r w:rsidR="003F3E97" w:rsidRPr="0086425B">
        <w:rPr>
          <w:rFonts w:ascii="Georgia" w:eastAsia="Times New Roman" w:hAnsi="Georgia" w:cs="Times New Roman"/>
          <w:i/>
          <w:iCs/>
        </w:rPr>
        <w:t>projected demand</w:t>
      </w:r>
      <w:r w:rsidR="003F3E97">
        <w:rPr>
          <w:rFonts w:ascii="Georgia" w:eastAsia="Times New Roman" w:hAnsi="Georgia" w:cs="Times New Roman"/>
          <w:i/>
          <w:iCs/>
        </w:rPr>
        <w:t xml:space="preserve"> and the existing shortage of apartments</w:t>
      </w:r>
      <w:r w:rsidR="007344C5" w:rsidRPr="0086425B">
        <w:rPr>
          <w:rFonts w:ascii="Georgia" w:eastAsia="Times New Roman" w:hAnsi="Georgia" w:cs="Times New Roman"/>
          <w:i/>
          <w:iCs/>
        </w:rPr>
        <w:t>.</w:t>
      </w:r>
      <w:r w:rsidR="007344C5" w:rsidRPr="0086425B">
        <w:rPr>
          <w:rStyle w:val="FootnoteReference"/>
          <w:rFonts w:ascii="Georgia" w:eastAsia="Times New Roman" w:hAnsi="Georgia" w:cs="Times New Roman"/>
          <w:i/>
          <w:iCs/>
        </w:rPr>
        <w:footnoteReference w:id="15"/>
      </w:r>
      <w:r w:rsidR="00E720BA" w:rsidRPr="0086425B">
        <w:rPr>
          <w:rFonts w:ascii="Georgia" w:eastAsia="Times New Roman" w:hAnsi="Georgia" w:cs="Times New Roman"/>
          <w:i/>
          <w:iCs/>
        </w:rPr>
        <w:t xml:space="preserve"> </w:t>
      </w:r>
      <w:r w:rsidR="006F31D2" w:rsidRPr="0086425B">
        <w:rPr>
          <w:rFonts w:ascii="Georgia" w:eastAsia="Times New Roman" w:hAnsi="Georgia" w:cs="Times New Roman"/>
          <w:i/>
          <w:iCs/>
        </w:rPr>
        <w:t xml:space="preserve">To address housing production and preservation, we </w:t>
      </w:r>
      <w:r w:rsidR="005F1027" w:rsidRPr="0086425B">
        <w:rPr>
          <w:rFonts w:ascii="Georgia" w:eastAsia="Times New Roman" w:hAnsi="Georgia" w:cs="Times New Roman"/>
          <w:i/>
          <w:iCs/>
        </w:rPr>
        <w:t>recommend Congress enact the following policies:</w:t>
      </w:r>
      <w:r w:rsidR="00E720BA" w:rsidRPr="0086425B">
        <w:rPr>
          <w:rFonts w:ascii="Georgia" w:eastAsia="Times New Roman" w:hAnsi="Georgia" w:cs="Times New Roman"/>
          <w:i/>
          <w:iCs/>
        </w:rPr>
        <w:t xml:space="preserve"> </w:t>
      </w:r>
    </w:p>
    <w:p w14:paraId="188DC2C3" w14:textId="77777777" w:rsidR="005F1027" w:rsidRPr="00B658F0" w:rsidRDefault="005F1027" w:rsidP="005F1027">
      <w:pPr>
        <w:spacing w:after="0" w:line="240" w:lineRule="exact"/>
        <w:jc w:val="both"/>
        <w:rPr>
          <w:rFonts w:ascii="Georgia" w:eastAsia="Times New Roman" w:hAnsi="Georgia" w:cs="Times New Roman"/>
          <w:i/>
          <w:iCs/>
          <w:sz w:val="24"/>
          <w:szCs w:val="24"/>
        </w:rPr>
      </w:pPr>
    </w:p>
    <w:p w14:paraId="077E0E18" w14:textId="3AD0A3A8" w:rsidR="00076305" w:rsidRPr="00B658F0" w:rsidRDefault="00076305" w:rsidP="005F1027">
      <w:pPr>
        <w:rPr>
          <w:rFonts w:ascii="Georgia" w:hAnsi="Georgia"/>
        </w:rPr>
      </w:pPr>
      <w:r w:rsidRPr="00B658F0">
        <w:rPr>
          <w:rFonts w:ascii="Georgia" w:hAnsi="Georgia"/>
          <w:b/>
          <w:bCs/>
          <w:i/>
          <w:iCs/>
        </w:rPr>
        <w:t>Expand and Enhance the Low-Income Housing Tax Credit</w:t>
      </w:r>
    </w:p>
    <w:p w14:paraId="17C95B06" w14:textId="37E3E5B5" w:rsidR="00076305" w:rsidRPr="00B658F0" w:rsidRDefault="00076305" w:rsidP="003D4A6E">
      <w:pPr>
        <w:spacing w:after="0" w:line="240" w:lineRule="exact"/>
        <w:jc w:val="both"/>
        <w:rPr>
          <w:rFonts w:ascii="Georgia" w:hAnsi="Georgia"/>
        </w:rPr>
      </w:pPr>
      <w:r w:rsidRPr="00B658F0">
        <w:rPr>
          <w:rFonts w:ascii="Georgia" w:hAnsi="Georgia"/>
        </w:rPr>
        <w:t xml:space="preserve">The Low-Income Housing Tax Credit (LIHTC) is a public/private partnership that leverages federal dollars with private investment to produce affordable rental housing and stimulate new economic development in many communities. Since its inception in 1986, the LIHTC program has according to the </w:t>
      </w:r>
      <w:r w:rsidR="00F65BD1" w:rsidRPr="00B658F0">
        <w:rPr>
          <w:rFonts w:ascii="Georgia" w:hAnsi="Georgia"/>
        </w:rPr>
        <w:t>A Call To Invest in Our Neighborhoods (</w:t>
      </w:r>
      <w:r w:rsidRPr="00B658F0">
        <w:rPr>
          <w:rFonts w:ascii="Georgia" w:hAnsi="Georgia"/>
        </w:rPr>
        <w:t>ACTION</w:t>
      </w:r>
      <w:r w:rsidR="00F65BD1" w:rsidRPr="00B658F0">
        <w:rPr>
          <w:rFonts w:ascii="Georgia" w:hAnsi="Georgia"/>
        </w:rPr>
        <w:t>)</w:t>
      </w:r>
      <w:r w:rsidRPr="00B658F0">
        <w:rPr>
          <w:rFonts w:ascii="Georgia" w:hAnsi="Georgia"/>
        </w:rPr>
        <w:t xml:space="preserve"> Campaign financed 3.</w:t>
      </w:r>
      <w:r w:rsidR="009A7447">
        <w:rPr>
          <w:rFonts w:ascii="Georgia" w:hAnsi="Georgia"/>
        </w:rPr>
        <w:t>6</w:t>
      </w:r>
      <w:r w:rsidRPr="00B658F0">
        <w:rPr>
          <w:rFonts w:ascii="Georgia" w:hAnsi="Georgia"/>
        </w:rPr>
        <w:t xml:space="preserve"> million apartments and served 8 million households. The LIHTC program</w:t>
      </w:r>
      <w:r w:rsidR="005A3D21" w:rsidRPr="00B658F0">
        <w:rPr>
          <w:rFonts w:ascii="Georgia" w:hAnsi="Georgia"/>
        </w:rPr>
        <w:t xml:space="preserve"> </w:t>
      </w:r>
      <w:r w:rsidRPr="00B658F0">
        <w:rPr>
          <w:rFonts w:ascii="Georgia" w:hAnsi="Georgia"/>
        </w:rPr>
        <w:t>provides critical support to the nation's affordable housing production but could be made even more impactful.</w:t>
      </w:r>
    </w:p>
    <w:p w14:paraId="22B5A37D" w14:textId="77777777" w:rsidR="00076305" w:rsidRPr="00B658F0" w:rsidRDefault="00076305" w:rsidP="003D4A6E">
      <w:pPr>
        <w:spacing w:after="0" w:line="240" w:lineRule="exact"/>
        <w:jc w:val="both"/>
        <w:rPr>
          <w:rFonts w:ascii="Georgia" w:hAnsi="Georgia"/>
        </w:rPr>
      </w:pPr>
    </w:p>
    <w:p w14:paraId="44100271" w14:textId="3266075B" w:rsidR="00FA4403" w:rsidRDefault="00076305" w:rsidP="003D4A6E">
      <w:pPr>
        <w:spacing w:after="0" w:line="240" w:lineRule="exact"/>
        <w:jc w:val="both"/>
        <w:rPr>
          <w:rFonts w:ascii="Georgia" w:hAnsi="Georgia"/>
        </w:rPr>
      </w:pPr>
      <w:r w:rsidRPr="00B658F0">
        <w:rPr>
          <w:rFonts w:ascii="Georgia" w:hAnsi="Georgia"/>
        </w:rPr>
        <w:t xml:space="preserve">NMHC and NAA strongly support the </w:t>
      </w:r>
      <w:r w:rsidRPr="00B658F0">
        <w:rPr>
          <w:rFonts w:ascii="Georgia" w:hAnsi="Georgia"/>
          <w:b/>
          <w:bCs/>
          <w:i/>
          <w:iCs/>
        </w:rPr>
        <w:t>Affordable Housing Credit Improvement Act of</w:t>
      </w:r>
      <w:r w:rsidR="00F65BD1" w:rsidRPr="00B658F0">
        <w:rPr>
          <w:rFonts w:ascii="Georgia" w:hAnsi="Georgia"/>
          <w:b/>
          <w:bCs/>
          <w:i/>
          <w:iCs/>
        </w:rPr>
        <w:t xml:space="preserve"> 2021 </w:t>
      </w:r>
      <w:r w:rsidR="00F65BD1" w:rsidRPr="00B658F0">
        <w:rPr>
          <w:rFonts w:ascii="Georgia" w:hAnsi="Georgia"/>
          <w:i/>
          <w:iCs/>
        </w:rPr>
        <w:t>(S. 11</w:t>
      </w:r>
      <w:r w:rsidR="00985054">
        <w:rPr>
          <w:rFonts w:ascii="Georgia" w:hAnsi="Georgia"/>
          <w:i/>
          <w:iCs/>
        </w:rPr>
        <w:t>3</w:t>
      </w:r>
      <w:r w:rsidR="00F65BD1" w:rsidRPr="00B658F0">
        <w:rPr>
          <w:rFonts w:ascii="Georgia" w:hAnsi="Georgia"/>
          <w:i/>
          <w:iCs/>
        </w:rPr>
        <w:t>6</w:t>
      </w:r>
      <w:r w:rsidR="00E72BA0">
        <w:rPr>
          <w:rFonts w:ascii="Georgia" w:hAnsi="Georgia"/>
          <w:i/>
          <w:iCs/>
        </w:rPr>
        <w:t xml:space="preserve"> / H.R. 2573</w:t>
      </w:r>
      <w:r w:rsidR="00F65BD1" w:rsidRPr="00B658F0">
        <w:rPr>
          <w:rFonts w:ascii="Georgia" w:hAnsi="Georgia"/>
          <w:i/>
          <w:iCs/>
        </w:rPr>
        <w:t>)</w:t>
      </w:r>
      <w:r w:rsidRPr="00B658F0">
        <w:rPr>
          <w:rFonts w:ascii="Georgia" w:hAnsi="Georgia"/>
        </w:rPr>
        <w:t xml:space="preserve">. </w:t>
      </w:r>
      <w:r w:rsidR="00FA4403" w:rsidRPr="00B658F0">
        <w:rPr>
          <w:rFonts w:ascii="Georgia" w:hAnsi="Georgia"/>
        </w:rPr>
        <w:t xml:space="preserve">Introduced by </w:t>
      </w:r>
      <w:r w:rsidR="00985054">
        <w:rPr>
          <w:rFonts w:ascii="Georgia" w:hAnsi="Georgia"/>
        </w:rPr>
        <w:t xml:space="preserve">Senate Finance </w:t>
      </w:r>
      <w:r w:rsidR="00FA4403" w:rsidRPr="00B658F0">
        <w:rPr>
          <w:rFonts w:ascii="Georgia" w:hAnsi="Georgia"/>
        </w:rPr>
        <w:t xml:space="preserve">Committee </w:t>
      </w:r>
      <w:r w:rsidR="005F1027" w:rsidRPr="00B658F0">
        <w:rPr>
          <w:rFonts w:ascii="Georgia" w:hAnsi="Georgia"/>
        </w:rPr>
        <w:t>M</w:t>
      </w:r>
      <w:r w:rsidR="00FA4403" w:rsidRPr="00B658F0">
        <w:rPr>
          <w:rFonts w:ascii="Georgia" w:hAnsi="Georgia"/>
        </w:rPr>
        <w:t>embers</w:t>
      </w:r>
      <w:r w:rsidR="005F1027" w:rsidRPr="00B658F0">
        <w:rPr>
          <w:rFonts w:ascii="Georgia" w:hAnsi="Georgia"/>
        </w:rPr>
        <w:t xml:space="preserve"> </w:t>
      </w:r>
      <w:r w:rsidR="0017019F">
        <w:rPr>
          <w:rFonts w:ascii="Georgia" w:hAnsi="Georgia"/>
        </w:rPr>
        <w:t>Maria Cantwell, Todd Young, Ron Wyden, and Rob Portman</w:t>
      </w:r>
      <w:r w:rsidR="00FA4403" w:rsidRPr="00B658F0">
        <w:rPr>
          <w:rFonts w:ascii="Georgia" w:hAnsi="Georgia"/>
        </w:rPr>
        <w:t xml:space="preserve"> (and cosponsored by other committee members), t</w:t>
      </w:r>
      <w:r w:rsidRPr="00B658F0">
        <w:rPr>
          <w:rFonts w:ascii="Georgia" w:hAnsi="Georgia"/>
        </w:rPr>
        <w:t>his bipartisan bill would</w:t>
      </w:r>
      <w:r w:rsidR="00F65BD1" w:rsidRPr="00B658F0">
        <w:rPr>
          <w:rFonts w:ascii="Georgia" w:hAnsi="Georgia"/>
        </w:rPr>
        <w:t>, among other provisions,</w:t>
      </w:r>
      <w:r w:rsidRPr="00B658F0">
        <w:rPr>
          <w:rFonts w:ascii="Georgia" w:hAnsi="Georgia"/>
        </w:rPr>
        <w:t xml:space="preserve"> make permanent the increased LIHTC credit authority enacted in March 2018 to enable the production of new units and further augment credit authority by 50 percent. </w:t>
      </w:r>
      <w:r w:rsidR="00F65BD1" w:rsidRPr="00B658F0">
        <w:rPr>
          <w:rFonts w:ascii="Georgia" w:hAnsi="Georgia"/>
        </w:rPr>
        <w:t>The ACTION Campaign estimates this legislation would “result in the production of over 2 million additional affordable homes over the next decade, support the creation of nearly 3 million jobs, and generate more than $346 billion in wages and business income and nearly $120 billion in additional tax revenue.”</w:t>
      </w:r>
      <w:r w:rsidR="00F65BD1" w:rsidRPr="00B658F0">
        <w:rPr>
          <w:rStyle w:val="FootnoteReference"/>
          <w:rFonts w:ascii="Georgia" w:hAnsi="Georgia"/>
        </w:rPr>
        <w:footnoteReference w:id="16"/>
      </w:r>
    </w:p>
    <w:p w14:paraId="0F3507E7" w14:textId="007CD43B" w:rsidR="00E27758" w:rsidRDefault="00E27758" w:rsidP="003D4A6E">
      <w:pPr>
        <w:spacing w:after="0" w:line="240" w:lineRule="exact"/>
        <w:jc w:val="both"/>
        <w:rPr>
          <w:rFonts w:ascii="Georgia" w:hAnsi="Georgia"/>
        </w:rPr>
      </w:pPr>
    </w:p>
    <w:p w14:paraId="4FE68E76" w14:textId="353E1A8E" w:rsidR="00E27758" w:rsidRDefault="00CD5A41" w:rsidP="003D4A6E">
      <w:pPr>
        <w:spacing w:after="0" w:line="240" w:lineRule="exact"/>
        <w:jc w:val="both"/>
        <w:rPr>
          <w:rFonts w:ascii="Georgia" w:hAnsi="Georgia"/>
        </w:rPr>
      </w:pPr>
      <w:r>
        <w:rPr>
          <w:rFonts w:ascii="Georgia" w:hAnsi="Georgia"/>
        </w:rPr>
        <w:t>Additionally</w:t>
      </w:r>
      <w:r w:rsidR="00E27758">
        <w:rPr>
          <w:rFonts w:ascii="Georgia" w:hAnsi="Georgia"/>
        </w:rPr>
        <w:t xml:space="preserve">, it should be noted that Congress </w:t>
      </w:r>
      <w:r w:rsidR="00243E37">
        <w:rPr>
          <w:rFonts w:ascii="Georgia" w:hAnsi="Georgia"/>
        </w:rPr>
        <w:t>enacted a 12.5 percent increase in credit authority for years 2018-2021. Given that this increase has now expired, the nation is experiencing a decrease in LIHTC resources. If Congress cann</w:t>
      </w:r>
      <w:r w:rsidR="007B2024">
        <w:rPr>
          <w:rFonts w:ascii="Georgia" w:hAnsi="Georgia"/>
        </w:rPr>
        <w:t>ot agree to a substantial increase in credit authority over 2021 levels, it should at a minimum restore the reduction in credit authority.</w:t>
      </w:r>
    </w:p>
    <w:p w14:paraId="3499A339" w14:textId="1094CC4E" w:rsidR="00CD5A41" w:rsidRDefault="00CD5A41" w:rsidP="003D4A6E">
      <w:pPr>
        <w:spacing w:after="0" w:line="240" w:lineRule="exact"/>
        <w:jc w:val="both"/>
        <w:rPr>
          <w:rFonts w:ascii="Georgia" w:hAnsi="Georgia"/>
        </w:rPr>
      </w:pPr>
    </w:p>
    <w:p w14:paraId="5838FDBB" w14:textId="0FAE212C" w:rsidR="00CD5A41" w:rsidRPr="00FB6C58" w:rsidRDefault="00CD5A41" w:rsidP="00CD5A41">
      <w:pPr>
        <w:spacing w:after="0" w:line="240" w:lineRule="exact"/>
        <w:jc w:val="both"/>
        <w:rPr>
          <w:rFonts w:ascii="Georgia" w:hAnsi="Georgia"/>
        </w:rPr>
      </w:pPr>
      <w:r>
        <w:rPr>
          <w:rFonts w:ascii="Georgia" w:hAnsi="Georgia"/>
        </w:rPr>
        <w:t xml:space="preserve">Finally, the multifamily industry encourages Congress to enact the </w:t>
      </w:r>
      <w:r>
        <w:rPr>
          <w:rFonts w:ascii="Georgia" w:hAnsi="Georgia"/>
          <w:b/>
          <w:bCs/>
          <w:i/>
          <w:iCs/>
        </w:rPr>
        <w:t xml:space="preserve">LIHTC Financing Enabling Long-term Investment in Neighborhood Excellence Act (LIFELINE Act) </w:t>
      </w:r>
      <w:r>
        <w:rPr>
          <w:rFonts w:ascii="Georgia" w:hAnsi="Georgia"/>
          <w:i/>
          <w:iCs/>
        </w:rPr>
        <w:t xml:space="preserve">(S. 4181 / H.R. 7078). </w:t>
      </w:r>
      <w:r w:rsidRPr="005306E9">
        <w:rPr>
          <w:rFonts w:ascii="Georgia" w:hAnsi="Georgia"/>
        </w:rPr>
        <w:t>Introduced by Senator</w:t>
      </w:r>
      <w:r w:rsidR="00A350D5">
        <w:rPr>
          <w:rFonts w:ascii="Georgia" w:hAnsi="Georgia"/>
        </w:rPr>
        <w:t>s</w:t>
      </w:r>
      <w:r>
        <w:rPr>
          <w:rFonts w:ascii="Georgia" w:hAnsi="Georgia"/>
        </w:rPr>
        <w:t xml:space="preserve"> Patrick</w:t>
      </w:r>
      <w:r w:rsidRPr="005306E9">
        <w:rPr>
          <w:rFonts w:ascii="Georgia" w:hAnsi="Georgia"/>
        </w:rPr>
        <w:t xml:space="preserve"> Leahy </w:t>
      </w:r>
      <w:r w:rsidR="00A350D5">
        <w:rPr>
          <w:rFonts w:ascii="Georgia" w:hAnsi="Georgia"/>
        </w:rPr>
        <w:t xml:space="preserve">and Susan Collins </w:t>
      </w:r>
      <w:r w:rsidRPr="005306E9">
        <w:rPr>
          <w:rFonts w:ascii="Georgia" w:hAnsi="Georgia"/>
        </w:rPr>
        <w:t>and cosponsored by Senate Finance Committee members Michael Bennet, Catherine Cortez Masto, Margaret Hassan, Sheldon Whitehouse, and Ron Wyden, this</w:t>
      </w:r>
      <w:r>
        <w:rPr>
          <w:rFonts w:ascii="Georgia" w:hAnsi="Georgia"/>
          <w:i/>
          <w:iCs/>
        </w:rPr>
        <w:t xml:space="preserve"> </w:t>
      </w:r>
      <w:r>
        <w:rPr>
          <w:rFonts w:ascii="Georgia" w:hAnsi="Georgia"/>
        </w:rPr>
        <w:t>legislation would facilitate the use of the Coronavirus State and Local Fiscal Recovery Fund (SLRF) with the LIHTC program. Although the Treasury Department’s final rule governing the SLRF technically enables funds to be used for affordable housing, it is either extremely challenging or impossible to do so in the context of a LIHTC development. The LIFELINE Act would address this issue by permitting states and localities to use SLRF to make long-term loans to LIHTC developments. Given the shortage of affordable housing and rising construction costs confronting the nation, it only makes sense to allow SLRF to be used to help make LIHTC projects financially feasible.</w:t>
      </w:r>
    </w:p>
    <w:p w14:paraId="376E94DE" w14:textId="77777777" w:rsidR="00CD5A41" w:rsidRPr="00B658F0" w:rsidRDefault="00CD5A41" w:rsidP="003D4A6E">
      <w:pPr>
        <w:spacing w:after="0" w:line="240" w:lineRule="exact"/>
        <w:jc w:val="both"/>
        <w:rPr>
          <w:rFonts w:ascii="Georgia" w:hAnsi="Georgia"/>
        </w:rPr>
      </w:pPr>
    </w:p>
    <w:p w14:paraId="18577654" w14:textId="77777777" w:rsidR="00076305" w:rsidRPr="00B658F0" w:rsidRDefault="00076305" w:rsidP="003D4A6E">
      <w:pPr>
        <w:spacing w:after="0" w:line="240" w:lineRule="exact"/>
        <w:jc w:val="both"/>
        <w:rPr>
          <w:rFonts w:ascii="Georgia" w:hAnsi="Georgia"/>
        </w:rPr>
      </w:pPr>
    </w:p>
    <w:p w14:paraId="1E4E37A6" w14:textId="77777777" w:rsidR="008B767F" w:rsidRDefault="008B767F" w:rsidP="003D4A6E">
      <w:pPr>
        <w:spacing w:after="0" w:line="240" w:lineRule="exact"/>
        <w:jc w:val="both"/>
        <w:rPr>
          <w:rFonts w:ascii="Georgia" w:hAnsi="Georgia"/>
          <w:b/>
          <w:bCs/>
          <w:i/>
          <w:iCs/>
        </w:rPr>
      </w:pPr>
    </w:p>
    <w:p w14:paraId="6E6328E3" w14:textId="2E30B9A2" w:rsidR="00076305" w:rsidRPr="00B658F0" w:rsidRDefault="00076305" w:rsidP="003D4A6E">
      <w:pPr>
        <w:spacing w:after="0" w:line="240" w:lineRule="exact"/>
        <w:jc w:val="both"/>
        <w:rPr>
          <w:rFonts w:ascii="Georgia" w:hAnsi="Georgia"/>
          <w:b/>
          <w:bCs/>
          <w:i/>
          <w:iCs/>
        </w:rPr>
      </w:pPr>
      <w:r w:rsidRPr="00B658F0">
        <w:rPr>
          <w:rFonts w:ascii="Georgia" w:hAnsi="Georgia"/>
          <w:b/>
          <w:bCs/>
          <w:i/>
          <w:iCs/>
        </w:rPr>
        <w:lastRenderedPageBreak/>
        <w:t>Enact the Middle-Income Housing Tax Credit (MIHTC) to Support Workforce Housing</w:t>
      </w:r>
    </w:p>
    <w:p w14:paraId="2E047025" w14:textId="77777777" w:rsidR="00076305" w:rsidRPr="00B658F0" w:rsidRDefault="00076305" w:rsidP="003D4A6E">
      <w:pPr>
        <w:spacing w:after="0" w:line="240" w:lineRule="exact"/>
        <w:jc w:val="both"/>
        <w:rPr>
          <w:rFonts w:ascii="Georgia" w:hAnsi="Georgia"/>
        </w:rPr>
      </w:pPr>
    </w:p>
    <w:p w14:paraId="7B4EF5CF" w14:textId="59210A6B" w:rsidR="00076305" w:rsidRPr="00B658F0" w:rsidRDefault="00076305" w:rsidP="003D4A6E">
      <w:pPr>
        <w:spacing w:after="0" w:line="240" w:lineRule="exact"/>
        <w:jc w:val="both"/>
        <w:rPr>
          <w:rFonts w:ascii="Georgia" w:hAnsi="Georgia"/>
        </w:rPr>
      </w:pPr>
      <w:r w:rsidRPr="00B658F0">
        <w:rPr>
          <w:rFonts w:ascii="Georgia" w:hAnsi="Georgia"/>
        </w:rPr>
        <w:t xml:space="preserve">Housing affordability is an issue threatening the financial wellbeing of solidly middle-income households in addition to low-income families. </w:t>
      </w:r>
      <w:r w:rsidR="004D5849" w:rsidRPr="004D5849">
        <w:rPr>
          <w:rFonts w:ascii="Georgia" w:hAnsi="Georgia"/>
        </w:rPr>
        <w:t xml:space="preserve">According to the Joint Center for Housing Studies of Harvard University, </w:t>
      </w:r>
      <w:r w:rsidR="001D0CE3">
        <w:rPr>
          <w:rFonts w:ascii="Georgia" w:hAnsi="Georgia"/>
        </w:rPr>
        <w:t>“</w:t>
      </w:r>
      <w:r w:rsidR="004D5849" w:rsidRPr="004D5849">
        <w:rPr>
          <w:rFonts w:ascii="Georgia" w:hAnsi="Georgia"/>
        </w:rPr>
        <w:t>the median asking rent for an apartment completed in the second quarter of 2021 was $1,669</w:t>
      </w:r>
      <w:r w:rsidR="00842752">
        <w:rPr>
          <w:rFonts w:ascii="Georgia" w:hAnsi="Georgia"/>
        </w:rPr>
        <w:t xml:space="preserve">, a 17 percent </w:t>
      </w:r>
      <w:r w:rsidR="00323147">
        <w:rPr>
          <w:rFonts w:ascii="Georgia" w:hAnsi="Georgia"/>
        </w:rPr>
        <w:t>increase from the same period in 2016</w:t>
      </w:r>
      <w:r w:rsidR="004D5849" w:rsidRPr="004D5849">
        <w:rPr>
          <w:rFonts w:ascii="Georgia" w:hAnsi="Georgia"/>
        </w:rPr>
        <w:t>.</w:t>
      </w:r>
      <w:r w:rsidR="001D0CE3">
        <w:rPr>
          <w:rFonts w:ascii="Georgia" w:hAnsi="Georgia"/>
        </w:rPr>
        <w:t>”</w:t>
      </w:r>
      <w:r w:rsidR="00814934">
        <w:rPr>
          <w:rStyle w:val="FootnoteReference"/>
          <w:rFonts w:ascii="Georgia" w:hAnsi="Georgia"/>
        </w:rPr>
        <w:footnoteReference w:id="17"/>
      </w:r>
      <w:r w:rsidR="004D5849" w:rsidRPr="004D5849">
        <w:rPr>
          <w:rFonts w:ascii="Georgia" w:hAnsi="Georgia"/>
        </w:rPr>
        <w:t xml:space="preserve">  </w:t>
      </w:r>
      <w:r w:rsidR="00ED207D">
        <w:rPr>
          <w:rFonts w:ascii="Georgia" w:hAnsi="Georgia"/>
        </w:rPr>
        <w:t>F</w:t>
      </w:r>
      <w:r w:rsidR="004D5849" w:rsidRPr="004D5849">
        <w:rPr>
          <w:rFonts w:ascii="Georgia" w:hAnsi="Georgia"/>
        </w:rPr>
        <w:t>or a renter to afford one of those units at the 30 percent of income standard, they would need to earn at least $66,760 annually.</w:t>
      </w:r>
      <w:r w:rsidRPr="00B658F0">
        <w:rPr>
          <w:rFonts w:ascii="Georgia" w:hAnsi="Georgia"/>
        </w:rPr>
        <w:t xml:space="preserve"> </w:t>
      </w:r>
      <w:r w:rsidR="00D735C7">
        <w:rPr>
          <w:rFonts w:ascii="Georgia" w:hAnsi="Georgia"/>
        </w:rPr>
        <w:t xml:space="preserve">Moreover, the Joint Center reports that </w:t>
      </w:r>
      <w:r w:rsidR="00D735C7" w:rsidRPr="00D735C7">
        <w:rPr>
          <w:rFonts w:ascii="Georgia" w:hAnsi="Georgia"/>
        </w:rPr>
        <w:t>“Although much lower, the cost-burdened share of middle-income households increased the most in 2014-2019. The share of renters making between $30,000 and $74,999 with at least moderate housing cost burdens rose 4 percentage points to 41 percent, while the share with severe burdens rose from 7 percent to 8 percent.</w:t>
      </w:r>
      <w:r w:rsidR="00944F84">
        <w:rPr>
          <w:rFonts w:ascii="Georgia" w:hAnsi="Georgia"/>
        </w:rPr>
        <w:t>”</w:t>
      </w:r>
      <w:r w:rsidR="00644BA3">
        <w:rPr>
          <w:rStyle w:val="FootnoteReference"/>
          <w:rFonts w:ascii="Georgia" w:hAnsi="Georgia"/>
        </w:rPr>
        <w:footnoteReference w:id="18"/>
      </w:r>
      <w:r w:rsidR="003556D9">
        <w:rPr>
          <w:rFonts w:ascii="Georgia" w:hAnsi="Georgia"/>
        </w:rPr>
        <w:t xml:space="preserve"> </w:t>
      </w:r>
      <w:r w:rsidR="00165A62">
        <w:rPr>
          <w:rStyle w:val="FootnoteReference"/>
          <w:rFonts w:ascii="Georgia" w:hAnsi="Georgia"/>
        </w:rPr>
        <w:footnoteReference w:id="19"/>
      </w:r>
      <w:r w:rsidR="00D735C7" w:rsidRPr="00D735C7">
        <w:rPr>
          <w:rFonts w:ascii="Georgia" w:hAnsi="Georgia"/>
        </w:rPr>
        <w:t xml:space="preserve"> </w:t>
      </w:r>
      <w:r w:rsidRPr="00B658F0">
        <w:rPr>
          <w:rFonts w:ascii="Georgia" w:hAnsi="Georgia"/>
        </w:rPr>
        <w:t xml:space="preserve">Accordingly, this is an issue impacting those </w:t>
      </w:r>
      <w:r w:rsidR="00CB63D7" w:rsidRPr="00B658F0">
        <w:rPr>
          <w:rFonts w:ascii="Georgia" w:hAnsi="Georgia"/>
        </w:rPr>
        <w:t xml:space="preserve">workers who </w:t>
      </w:r>
      <w:r w:rsidR="00C3272B" w:rsidRPr="00B658F0">
        <w:rPr>
          <w:rFonts w:ascii="Georgia" w:hAnsi="Georgia"/>
        </w:rPr>
        <w:t>comprise the</w:t>
      </w:r>
      <w:r w:rsidRPr="00B658F0">
        <w:rPr>
          <w:rFonts w:ascii="Georgia" w:hAnsi="Georgia"/>
        </w:rPr>
        <w:t xml:space="preserve"> very fabric of </w:t>
      </w:r>
      <w:r w:rsidR="00CB63D7" w:rsidRPr="00B658F0">
        <w:rPr>
          <w:rFonts w:ascii="Georgia" w:hAnsi="Georgia"/>
        </w:rPr>
        <w:t xml:space="preserve">strong </w:t>
      </w:r>
      <w:r w:rsidRPr="00B658F0">
        <w:rPr>
          <w:rFonts w:ascii="Georgia" w:hAnsi="Georgia"/>
        </w:rPr>
        <w:t>communities nationwide, including teachers, firefighters, nurses and police officers.</w:t>
      </w:r>
    </w:p>
    <w:p w14:paraId="66D4B079" w14:textId="77777777" w:rsidR="00076305" w:rsidRPr="00B658F0" w:rsidRDefault="00076305" w:rsidP="003D4A6E">
      <w:pPr>
        <w:spacing w:after="0" w:line="240" w:lineRule="exact"/>
        <w:jc w:val="both"/>
        <w:rPr>
          <w:rFonts w:ascii="Georgia" w:hAnsi="Georgia"/>
        </w:rPr>
      </w:pPr>
    </w:p>
    <w:p w14:paraId="27202349" w14:textId="46FD6385" w:rsidR="00076305" w:rsidRPr="00B658F0" w:rsidRDefault="00CB63D7" w:rsidP="003D4A6E">
      <w:pPr>
        <w:spacing w:after="0" w:line="240" w:lineRule="exact"/>
        <w:jc w:val="both"/>
        <w:rPr>
          <w:rFonts w:ascii="Georgia" w:hAnsi="Georgia"/>
        </w:rPr>
      </w:pPr>
      <w:r w:rsidRPr="00B658F0">
        <w:rPr>
          <w:rFonts w:ascii="Georgia" w:hAnsi="Georgia"/>
        </w:rPr>
        <w:t xml:space="preserve">Tax policies to spur the production of </w:t>
      </w:r>
      <w:r w:rsidR="00076305" w:rsidRPr="00B658F0">
        <w:rPr>
          <w:rFonts w:ascii="Georgia" w:hAnsi="Georgia"/>
        </w:rPr>
        <w:t xml:space="preserve">multifamily housing targeted to middle-income Americans should be a part of any </w:t>
      </w:r>
      <w:r w:rsidR="00E26B8D">
        <w:rPr>
          <w:rFonts w:ascii="Georgia" w:hAnsi="Georgia"/>
        </w:rPr>
        <w:t>legislation that seeks to address housing affordability on a comprehensive basis</w:t>
      </w:r>
      <w:r w:rsidR="00076305" w:rsidRPr="00B658F0">
        <w:rPr>
          <w:rFonts w:ascii="Georgia" w:hAnsi="Georgia"/>
        </w:rPr>
        <w:t xml:space="preserve">. We urge Congress to strongly consider the </w:t>
      </w:r>
      <w:r w:rsidR="00076305" w:rsidRPr="00B658F0">
        <w:rPr>
          <w:rFonts w:ascii="Georgia" w:hAnsi="Georgia"/>
          <w:b/>
          <w:bCs/>
          <w:i/>
          <w:iCs/>
        </w:rPr>
        <w:t xml:space="preserve">Middle-Income Housing Tax Credit </w:t>
      </w:r>
      <w:r w:rsidR="00076305" w:rsidRPr="00B658F0">
        <w:rPr>
          <w:rFonts w:ascii="Georgia" w:hAnsi="Georgia"/>
        </w:rPr>
        <w:t xml:space="preserve">that </w:t>
      </w:r>
      <w:r w:rsidR="00FA4403" w:rsidRPr="00B658F0">
        <w:rPr>
          <w:rFonts w:ascii="Georgia" w:hAnsi="Georgia"/>
        </w:rPr>
        <w:t xml:space="preserve">Senate Finance Committee Chair Ron Wyden </w:t>
      </w:r>
      <w:r w:rsidR="00E26B8D">
        <w:rPr>
          <w:rFonts w:ascii="Georgia" w:hAnsi="Georgia"/>
        </w:rPr>
        <w:t>introduced</w:t>
      </w:r>
      <w:r w:rsidR="00214FFF">
        <w:rPr>
          <w:rFonts w:ascii="Georgia" w:hAnsi="Georgia"/>
        </w:rPr>
        <w:t xml:space="preserve"> </w:t>
      </w:r>
      <w:r w:rsidR="007D25BB">
        <w:rPr>
          <w:rFonts w:ascii="Georgia" w:hAnsi="Georgia"/>
        </w:rPr>
        <w:t>as part of the</w:t>
      </w:r>
      <w:r w:rsidR="00E26B8D">
        <w:rPr>
          <w:rFonts w:ascii="Georgia" w:hAnsi="Georgia"/>
        </w:rPr>
        <w:t xml:space="preserve"> </w:t>
      </w:r>
      <w:r w:rsidR="00214FFF" w:rsidRPr="00C41EF6">
        <w:rPr>
          <w:rFonts w:ascii="Georgia" w:hAnsi="Georgia"/>
          <w:b/>
          <w:bCs/>
          <w:i/>
          <w:iCs/>
        </w:rPr>
        <w:t>Decent, Affordable, Safe Housing for All Act</w:t>
      </w:r>
      <w:r w:rsidR="00214FFF" w:rsidRPr="004727F7">
        <w:rPr>
          <w:rFonts w:ascii="Georgia" w:hAnsi="Georgia"/>
          <w:b/>
          <w:bCs/>
          <w:i/>
          <w:iCs/>
        </w:rPr>
        <w:t xml:space="preserve"> (DASH Act)</w:t>
      </w:r>
      <w:r w:rsidR="007D25BB">
        <w:rPr>
          <w:rFonts w:ascii="Georgia" w:hAnsi="Georgia"/>
        </w:rPr>
        <w:t xml:space="preserve"> (S. 2820)</w:t>
      </w:r>
      <w:r w:rsidR="00214FFF" w:rsidRPr="00214FFF">
        <w:rPr>
          <w:rFonts w:ascii="Georgia" w:hAnsi="Georgia"/>
        </w:rPr>
        <w:t xml:space="preserve"> </w:t>
      </w:r>
      <w:r w:rsidR="00076305" w:rsidRPr="00B658F0">
        <w:rPr>
          <w:rFonts w:ascii="Georgia" w:hAnsi="Georgia"/>
        </w:rPr>
        <w:t>to address the shortage of workforce housing available to American households. A worthy complement of measures to expand and improve LIHTC, the Middle-Income Housing Tax Credit (MIHTC) takes over where LIHTC leaves off. LIHTC is currently designed to serve populations of up to 60 percent of area median income. MIHTC is designed to benefit populations earning below 100 percent of area median income.</w:t>
      </w:r>
    </w:p>
    <w:p w14:paraId="16F6645D" w14:textId="77777777" w:rsidR="00076305" w:rsidRPr="00B658F0" w:rsidRDefault="00076305" w:rsidP="003D4A6E">
      <w:pPr>
        <w:spacing w:after="0" w:line="240" w:lineRule="exact"/>
        <w:jc w:val="both"/>
        <w:rPr>
          <w:rFonts w:ascii="Georgia" w:hAnsi="Georgia"/>
        </w:rPr>
      </w:pPr>
    </w:p>
    <w:p w14:paraId="05750A26" w14:textId="77777777" w:rsidR="00076305" w:rsidRPr="00B658F0" w:rsidRDefault="00076305" w:rsidP="003D4A6E">
      <w:pPr>
        <w:spacing w:after="0" w:line="240" w:lineRule="exact"/>
        <w:jc w:val="both"/>
        <w:rPr>
          <w:rFonts w:ascii="Georgia" w:hAnsi="Georgia"/>
          <w:b/>
          <w:bCs/>
          <w:i/>
          <w:iCs/>
        </w:rPr>
      </w:pPr>
      <w:r w:rsidRPr="00B658F0">
        <w:rPr>
          <w:rFonts w:ascii="Georgia" w:hAnsi="Georgia"/>
          <w:b/>
          <w:bCs/>
          <w:i/>
          <w:iCs/>
        </w:rPr>
        <w:t>Enhance Opportunity Zones to Incentivize Rehabilitation of Housing Units</w:t>
      </w:r>
    </w:p>
    <w:p w14:paraId="7612F66B" w14:textId="77777777" w:rsidR="00076305" w:rsidRPr="00B658F0" w:rsidRDefault="00076305" w:rsidP="003D4A6E">
      <w:pPr>
        <w:spacing w:after="0" w:line="240" w:lineRule="exact"/>
        <w:jc w:val="both"/>
        <w:rPr>
          <w:rFonts w:ascii="Georgia" w:hAnsi="Georgia"/>
        </w:rPr>
      </w:pPr>
    </w:p>
    <w:p w14:paraId="508463ED" w14:textId="4570E6F5" w:rsidR="00076305" w:rsidRPr="00B658F0" w:rsidRDefault="00076305" w:rsidP="003D4A6E">
      <w:pPr>
        <w:spacing w:after="0" w:line="240" w:lineRule="exact"/>
        <w:jc w:val="both"/>
        <w:rPr>
          <w:rFonts w:ascii="Georgia" w:hAnsi="Georgia"/>
        </w:rPr>
      </w:pPr>
      <w:r w:rsidRPr="00B658F0">
        <w:rPr>
          <w:rFonts w:ascii="Georgia" w:hAnsi="Georgia"/>
        </w:rPr>
        <w:t>Enacted as part of tax reform legislation in 2017, Opportunity Zones are designed to provide tax incentives for investments in distressed communities.  Opportunity Zones hold great promise for the development of multifamily housing.</w:t>
      </w:r>
      <w:r w:rsidR="00E41028" w:rsidRPr="00B658F0">
        <w:rPr>
          <w:rFonts w:ascii="Georgia" w:hAnsi="Georgia"/>
        </w:rPr>
        <w:t xml:space="preserve"> </w:t>
      </w:r>
      <w:r w:rsidRPr="00B658F0">
        <w:rPr>
          <w:rFonts w:ascii="Georgia" w:hAnsi="Georgia"/>
        </w:rPr>
        <w:t>Under the new program, Governors have designated over 8,700 qualified low-income census tracts nationwide as Opportunity Zones. Up to 25 percent of a state’s qualified census tracts may qualify as Opportunity Zones, with each state having to designate a minimum of 25 Zones.</w:t>
      </w:r>
    </w:p>
    <w:p w14:paraId="01FA5B16" w14:textId="77777777" w:rsidR="00076305" w:rsidRPr="00B658F0" w:rsidRDefault="00076305" w:rsidP="003D4A6E">
      <w:pPr>
        <w:spacing w:after="0" w:line="240" w:lineRule="exact"/>
        <w:jc w:val="both"/>
        <w:rPr>
          <w:rFonts w:ascii="Georgia" w:hAnsi="Georgia"/>
        </w:rPr>
      </w:pPr>
    </w:p>
    <w:p w14:paraId="7C850240" w14:textId="0A8EE7E7" w:rsidR="00076305" w:rsidRPr="00B658F0" w:rsidRDefault="00076305" w:rsidP="003D4A6E">
      <w:pPr>
        <w:pStyle w:val="CommentText"/>
        <w:spacing w:line="240" w:lineRule="exact"/>
        <w:jc w:val="both"/>
        <w:rPr>
          <w:sz w:val="22"/>
          <w:szCs w:val="22"/>
        </w:rPr>
      </w:pPr>
      <w:r w:rsidRPr="00B658F0">
        <w:rPr>
          <w:sz w:val="22"/>
          <w:szCs w:val="22"/>
        </w:rPr>
        <w:t xml:space="preserve">While we expect the Opportunity Zones program to be beneficial in spurring the production of new multifamily housing, </w:t>
      </w:r>
      <w:r w:rsidR="00351900" w:rsidRPr="00B658F0">
        <w:rPr>
          <w:sz w:val="22"/>
          <w:szCs w:val="22"/>
        </w:rPr>
        <w:t>the program</w:t>
      </w:r>
      <w:r w:rsidRPr="00B658F0">
        <w:rPr>
          <w:sz w:val="22"/>
          <w:szCs w:val="22"/>
        </w:rPr>
        <w:t xml:space="preserve"> could be improved </w:t>
      </w:r>
      <w:r w:rsidR="002B1E5C" w:rsidRPr="00B658F0">
        <w:rPr>
          <w:sz w:val="22"/>
          <w:szCs w:val="22"/>
        </w:rPr>
        <w:t>with respect to</w:t>
      </w:r>
      <w:r w:rsidRPr="00B658F0">
        <w:rPr>
          <w:sz w:val="22"/>
          <w:szCs w:val="22"/>
        </w:rPr>
        <w:t xml:space="preserve"> incentiv</w:t>
      </w:r>
      <w:r w:rsidR="002B1E5C" w:rsidRPr="00B658F0">
        <w:rPr>
          <w:sz w:val="22"/>
          <w:szCs w:val="22"/>
        </w:rPr>
        <w:t>es for</w:t>
      </w:r>
      <w:r w:rsidRPr="00B658F0">
        <w:rPr>
          <w:sz w:val="22"/>
          <w:szCs w:val="22"/>
        </w:rPr>
        <w:t xml:space="preserve"> the rehabilitation </w:t>
      </w:r>
      <w:r w:rsidR="00984796" w:rsidRPr="00B658F0">
        <w:rPr>
          <w:sz w:val="22"/>
          <w:szCs w:val="22"/>
        </w:rPr>
        <w:t xml:space="preserve">and preservation </w:t>
      </w:r>
      <w:r w:rsidRPr="00B658F0">
        <w:rPr>
          <w:sz w:val="22"/>
          <w:szCs w:val="22"/>
        </w:rPr>
        <w:t xml:space="preserve">of </w:t>
      </w:r>
      <w:r w:rsidR="00EA089C" w:rsidRPr="00B658F0">
        <w:rPr>
          <w:sz w:val="22"/>
          <w:szCs w:val="22"/>
        </w:rPr>
        <w:t xml:space="preserve">existing multifamily units. </w:t>
      </w:r>
      <w:r w:rsidR="006E1822" w:rsidRPr="00B658F0">
        <w:rPr>
          <w:sz w:val="22"/>
          <w:szCs w:val="22"/>
        </w:rPr>
        <w:t xml:space="preserve">Current regulations work against using this program to rehabilitate properties for affordable housing since the developer must double her basis in the property without consideration of the cost of land. </w:t>
      </w:r>
      <w:r w:rsidR="00EA089C" w:rsidRPr="00B658F0">
        <w:rPr>
          <w:sz w:val="22"/>
          <w:szCs w:val="22"/>
        </w:rPr>
        <w:t xml:space="preserve">In many cases, such significant renovation is unnecessary to preserve buildings and units that might otherwise be lost to obsolescence. Congress </w:t>
      </w:r>
      <w:r w:rsidR="00EA089C" w:rsidRPr="00B658F0">
        <w:rPr>
          <w:sz w:val="22"/>
          <w:szCs w:val="22"/>
        </w:rPr>
        <w:lastRenderedPageBreak/>
        <w:t>could leverage the Opportunity Zones program to promote the rehabilitation and preservation of multifamily units and, thereby, positively address the shortage of apartment units.</w:t>
      </w:r>
    </w:p>
    <w:p w14:paraId="15B4585A" w14:textId="77777777" w:rsidR="00076305" w:rsidRPr="00B658F0" w:rsidRDefault="00076305" w:rsidP="003D4A6E">
      <w:pPr>
        <w:spacing w:after="0" w:line="240" w:lineRule="exact"/>
        <w:jc w:val="both"/>
        <w:rPr>
          <w:rFonts w:ascii="Georgia" w:hAnsi="Georgia"/>
        </w:rPr>
      </w:pPr>
      <w:r w:rsidRPr="00B658F0">
        <w:rPr>
          <w:rFonts w:ascii="Georgia" w:hAnsi="Georgia"/>
        </w:rPr>
        <w:t xml:space="preserve"> </w:t>
      </w:r>
    </w:p>
    <w:p w14:paraId="42AE2BEB" w14:textId="3DEBAAE2" w:rsidR="00076305" w:rsidRPr="000C1774" w:rsidRDefault="006E1822" w:rsidP="003D4A6E">
      <w:pPr>
        <w:spacing w:after="0" w:line="240" w:lineRule="exact"/>
        <w:jc w:val="both"/>
        <w:rPr>
          <w:rFonts w:ascii="Georgia" w:hAnsi="Georgia"/>
          <w:b/>
          <w:bCs/>
        </w:rPr>
      </w:pPr>
      <w:r w:rsidRPr="00B658F0">
        <w:rPr>
          <w:rFonts w:ascii="Georgia" w:hAnsi="Georgia"/>
        </w:rPr>
        <w:t xml:space="preserve">NMHC and NAA recommend that Congress consider </w:t>
      </w:r>
      <w:r w:rsidR="00351900" w:rsidRPr="00B658F0">
        <w:rPr>
          <w:rFonts w:ascii="Georgia" w:hAnsi="Georgia"/>
        </w:rPr>
        <w:t>s</w:t>
      </w:r>
      <w:r w:rsidR="00076305" w:rsidRPr="00B658F0">
        <w:rPr>
          <w:rFonts w:ascii="Georgia" w:hAnsi="Georgia"/>
        </w:rPr>
        <w:t xml:space="preserve">tatutory modifications to reduce the basis increase necessary to qualify a multifamily rehabilitation project for Opportunity Zone purposes. It is noteworthy that to qualify for an allocation under the LIHTC, owners must commit to rehabilitations valued at the greater of: (1) 20 percent of adjusted basis of a building; 0r (2) $6,000 </w:t>
      </w:r>
      <w:r w:rsidR="00076305" w:rsidRPr="00273416">
        <w:rPr>
          <w:rFonts w:ascii="Georgia" w:hAnsi="Georgia"/>
        </w:rPr>
        <w:t>($7,</w:t>
      </w:r>
      <w:r w:rsidR="00273416" w:rsidRPr="00273416">
        <w:rPr>
          <w:rFonts w:ascii="Georgia" w:hAnsi="Georgia"/>
        </w:rPr>
        <w:t>4</w:t>
      </w:r>
      <w:r w:rsidR="00076305" w:rsidRPr="00273416">
        <w:rPr>
          <w:rFonts w:ascii="Georgia" w:hAnsi="Georgia"/>
        </w:rPr>
        <w:t>00 in 202</w:t>
      </w:r>
      <w:r w:rsidR="00273416" w:rsidRPr="00273416">
        <w:rPr>
          <w:rFonts w:ascii="Georgia" w:hAnsi="Georgia"/>
        </w:rPr>
        <w:t>2</w:t>
      </w:r>
      <w:r w:rsidR="00076305" w:rsidRPr="00273416">
        <w:rPr>
          <w:rFonts w:ascii="Georgia" w:hAnsi="Georgia"/>
        </w:rPr>
        <w:t xml:space="preserve"> as adjusted for inflation) per low-income unit.</w:t>
      </w:r>
    </w:p>
    <w:p w14:paraId="2ED7AB31" w14:textId="77777777" w:rsidR="00076305" w:rsidRPr="00B658F0" w:rsidRDefault="00076305" w:rsidP="003D4A6E">
      <w:pPr>
        <w:spacing w:after="0" w:line="240" w:lineRule="exact"/>
        <w:jc w:val="both"/>
        <w:rPr>
          <w:rFonts w:ascii="Georgia" w:hAnsi="Georgia"/>
        </w:rPr>
      </w:pPr>
    </w:p>
    <w:p w14:paraId="32DD1246" w14:textId="634CCE62" w:rsidR="00224395" w:rsidRPr="00224395" w:rsidRDefault="00224395" w:rsidP="00224395">
      <w:pPr>
        <w:spacing w:after="0" w:line="240" w:lineRule="exact"/>
        <w:jc w:val="both"/>
        <w:rPr>
          <w:rFonts w:ascii="Georgia" w:hAnsi="Georgia"/>
          <w:b/>
          <w:bCs/>
          <w:i/>
          <w:iCs/>
        </w:rPr>
      </w:pPr>
      <w:r w:rsidRPr="00224395">
        <w:rPr>
          <w:rFonts w:ascii="Georgia" w:hAnsi="Georgia"/>
          <w:b/>
          <w:bCs/>
          <w:i/>
          <w:iCs/>
        </w:rPr>
        <w:t xml:space="preserve">Encourage the </w:t>
      </w:r>
      <w:r w:rsidR="00575281">
        <w:rPr>
          <w:rFonts w:ascii="Georgia" w:hAnsi="Georgia"/>
          <w:b/>
          <w:bCs/>
          <w:i/>
          <w:iCs/>
        </w:rPr>
        <w:t>A</w:t>
      </w:r>
      <w:r w:rsidRPr="00224395">
        <w:rPr>
          <w:rFonts w:ascii="Georgia" w:hAnsi="Georgia"/>
          <w:b/>
          <w:bCs/>
          <w:i/>
          <w:iCs/>
        </w:rPr>
        <w:t xml:space="preserve">daptive </w:t>
      </w:r>
      <w:r w:rsidR="00575281">
        <w:rPr>
          <w:rFonts w:ascii="Georgia" w:hAnsi="Georgia"/>
          <w:b/>
          <w:bCs/>
          <w:i/>
          <w:iCs/>
        </w:rPr>
        <w:t>R</w:t>
      </w:r>
      <w:r w:rsidRPr="00224395">
        <w:rPr>
          <w:rFonts w:ascii="Georgia" w:hAnsi="Georgia"/>
          <w:b/>
          <w:bCs/>
          <w:i/>
          <w:iCs/>
        </w:rPr>
        <w:t xml:space="preserve">euse of </w:t>
      </w:r>
      <w:r w:rsidR="00575281">
        <w:rPr>
          <w:rFonts w:ascii="Georgia" w:hAnsi="Georgia"/>
          <w:b/>
          <w:bCs/>
          <w:i/>
          <w:iCs/>
        </w:rPr>
        <w:t>U</w:t>
      </w:r>
      <w:r w:rsidRPr="00224395">
        <w:rPr>
          <w:rFonts w:ascii="Georgia" w:hAnsi="Georgia"/>
          <w:b/>
          <w:bCs/>
          <w:i/>
          <w:iCs/>
        </w:rPr>
        <w:t xml:space="preserve">nderutilized </w:t>
      </w:r>
      <w:r w:rsidR="00340019">
        <w:rPr>
          <w:rFonts w:ascii="Georgia" w:hAnsi="Georgia"/>
          <w:b/>
          <w:bCs/>
          <w:i/>
          <w:iCs/>
        </w:rPr>
        <w:t xml:space="preserve">Commercial </w:t>
      </w:r>
      <w:r w:rsidR="00575281">
        <w:rPr>
          <w:rFonts w:ascii="Georgia" w:hAnsi="Georgia"/>
          <w:b/>
          <w:bCs/>
          <w:i/>
          <w:iCs/>
        </w:rPr>
        <w:t>P</w:t>
      </w:r>
      <w:r w:rsidRPr="00224395">
        <w:rPr>
          <w:rFonts w:ascii="Georgia" w:hAnsi="Georgia"/>
          <w:b/>
          <w:bCs/>
          <w:i/>
          <w:iCs/>
        </w:rPr>
        <w:t xml:space="preserve">roperties into </w:t>
      </w:r>
      <w:r w:rsidR="00575281">
        <w:rPr>
          <w:rFonts w:ascii="Georgia" w:hAnsi="Georgia"/>
          <w:b/>
          <w:bCs/>
          <w:i/>
          <w:iCs/>
        </w:rPr>
        <w:t>M</w:t>
      </w:r>
      <w:r w:rsidRPr="00224395">
        <w:rPr>
          <w:rFonts w:ascii="Georgia" w:hAnsi="Georgia"/>
          <w:b/>
          <w:bCs/>
          <w:i/>
          <w:iCs/>
        </w:rPr>
        <w:t xml:space="preserve">ultifamily </w:t>
      </w:r>
      <w:r w:rsidR="00575281">
        <w:rPr>
          <w:rFonts w:ascii="Georgia" w:hAnsi="Georgia"/>
          <w:b/>
          <w:bCs/>
          <w:i/>
          <w:iCs/>
        </w:rPr>
        <w:t>H</w:t>
      </w:r>
      <w:r w:rsidRPr="00224395">
        <w:rPr>
          <w:rFonts w:ascii="Georgia" w:hAnsi="Georgia"/>
          <w:b/>
          <w:bCs/>
          <w:i/>
          <w:iCs/>
        </w:rPr>
        <w:t>ousing</w:t>
      </w:r>
    </w:p>
    <w:p w14:paraId="7E445F66" w14:textId="5971F0E7" w:rsidR="00594FCE" w:rsidRDefault="00594FCE" w:rsidP="003D4A6E">
      <w:pPr>
        <w:spacing w:after="0" w:line="240" w:lineRule="exact"/>
        <w:jc w:val="both"/>
        <w:rPr>
          <w:rFonts w:ascii="Georgia" w:hAnsi="Georgia"/>
          <w:b/>
          <w:bCs/>
          <w:i/>
          <w:iCs/>
        </w:rPr>
      </w:pPr>
    </w:p>
    <w:p w14:paraId="0333AAFC" w14:textId="3AC8655F" w:rsidR="00224395" w:rsidRDefault="008E65F5" w:rsidP="003D4A6E">
      <w:pPr>
        <w:spacing w:after="0" w:line="240" w:lineRule="exact"/>
        <w:jc w:val="both"/>
        <w:rPr>
          <w:rFonts w:ascii="Georgia" w:hAnsi="Georgia"/>
        </w:rPr>
      </w:pPr>
      <w:r>
        <w:rPr>
          <w:rFonts w:ascii="Georgia" w:hAnsi="Georgia"/>
        </w:rPr>
        <w:t>With the COVID-19 pandemic modifying where Americans work and shop</w:t>
      </w:r>
      <w:r w:rsidR="00575281">
        <w:rPr>
          <w:rFonts w:ascii="Georgia" w:hAnsi="Georgia"/>
        </w:rPr>
        <w:t>, the multifamily industry believes there is great promise in proposals to convert underutilized properties</w:t>
      </w:r>
      <w:r w:rsidR="00725CEF">
        <w:rPr>
          <w:rFonts w:ascii="Georgia" w:hAnsi="Georgia"/>
        </w:rPr>
        <w:t xml:space="preserve"> into multifamily housing</w:t>
      </w:r>
      <w:r w:rsidR="00AD695F">
        <w:rPr>
          <w:rFonts w:ascii="Georgia" w:hAnsi="Georgia"/>
        </w:rPr>
        <w:t xml:space="preserve">. </w:t>
      </w:r>
      <w:r w:rsidR="001D7DC2">
        <w:rPr>
          <w:rFonts w:ascii="Georgia" w:hAnsi="Georgia"/>
        </w:rPr>
        <w:t>Office buildings</w:t>
      </w:r>
      <w:r w:rsidR="00725CEF">
        <w:rPr>
          <w:rFonts w:ascii="Georgia" w:hAnsi="Georgia"/>
        </w:rPr>
        <w:t xml:space="preserve">, </w:t>
      </w:r>
      <w:r w:rsidR="001D7DC2">
        <w:rPr>
          <w:rFonts w:ascii="Georgia" w:hAnsi="Georgia"/>
        </w:rPr>
        <w:t xml:space="preserve">shopping centers, </w:t>
      </w:r>
      <w:r w:rsidR="00725CEF">
        <w:rPr>
          <w:rFonts w:ascii="Georgia" w:hAnsi="Georgia"/>
        </w:rPr>
        <w:t xml:space="preserve">and hotels, </w:t>
      </w:r>
      <w:r w:rsidR="001D7DC2">
        <w:rPr>
          <w:rFonts w:ascii="Georgia" w:hAnsi="Georgia"/>
        </w:rPr>
        <w:t>for example</w:t>
      </w:r>
      <w:r w:rsidR="00725CEF">
        <w:rPr>
          <w:rFonts w:ascii="Georgia" w:hAnsi="Georgia"/>
        </w:rPr>
        <w:t>, can be transformed into new units in places Americans want to live.</w:t>
      </w:r>
    </w:p>
    <w:p w14:paraId="34E5C062" w14:textId="6D124564" w:rsidR="00AD3317" w:rsidRDefault="00AD3317" w:rsidP="003D4A6E">
      <w:pPr>
        <w:spacing w:after="0" w:line="240" w:lineRule="exact"/>
        <w:jc w:val="both"/>
        <w:rPr>
          <w:rFonts w:ascii="Georgia" w:hAnsi="Georgia"/>
        </w:rPr>
      </w:pPr>
    </w:p>
    <w:p w14:paraId="06653C91" w14:textId="3438BBE0" w:rsidR="002A0DE8" w:rsidRDefault="00A477A1" w:rsidP="002A0DE8">
      <w:pPr>
        <w:spacing w:line="240" w:lineRule="exact"/>
        <w:jc w:val="both"/>
        <w:rPr>
          <w:rFonts w:ascii="Georgia" w:hAnsi="Georgia"/>
        </w:rPr>
      </w:pPr>
      <w:r>
        <w:rPr>
          <w:rFonts w:ascii="Georgia" w:hAnsi="Georgia"/>
        </w:rPr>
        <w:t xml:space="preserve">Notably, Senate Finance Committee member </w:t>
      </w:r>
      <w:r w:rsidR="00003BBB">
        <w:rPr>
          <w:rFonts w:ascii="Georgia" w:hAnsi="Georgia"/>
        </w:rPr>
        <w:t>Debb</w:t>
      </w:r>
      <w:r w:rsidR="00D263BC">
        <w:rPr>
          <w:rFonts w:ascii="Georgia" w:hAnsi="Georgia"/>
        </w:rPr>
        <w:t>ie Stabenow</w:t>
      </w:r>
      <w:r w:rsidR="003977B3">
        <w:rPr>
          <w:rFonts w:ascii="Georgia" w:hAnsi="Georgia"/>
        </w:rPr>
        <w:t>, joined by Senate Finance Committee member Sherrod Brown as a cosponsor,</w:t>
      </w:r>
      <w:r w:rsidR="00D263BC">
        <w:rPr>
          <w:rFonts w:ascii="Georgia" w:hAnsi="Georgia"/>
        </w:rPr>
        <w:t xml:space="preserve"> has introduced the </w:t>
      </w:r>
      <w:r w:rsidR="00D263BC">
        <w:rPr>
          <w:rFonts w:ascii="Georgia" w:hAnsi="Georgia"/>
          <w:b/>
          <w:bCs/>
          <w:i/>
          <w:iCs/>
        </w:rPr>
        <w:t>Revitalizing Downtowns Act</w:t>
      </w:r>
      <w:r w:rsidR="00D263BC">
        <w:rPr>
          <w:rFonts w:ascii="Georgia" w:hAnsi="Georgia"/>
          <w:b/>
          <w:bCs/>
        </w:rPr>
        <w:t xml:space="preserve"> </w:t>
      </w:r>
      <w:r w:rsidR="00D263BC">
        <w:rPr>
          <w:rFonts w:ascii="Georgia" w:hAnsi="Georgia"/>
        </w:rPr>
        <w:t>(S. 2511) that would provide a 20 percent</w:t>
      </w:r>
      <w:r w:rsidR="004A0A0B">
        <w:rPr>
          <w:rFonts w:ascii="Georgia" w:hAnsi="Georgia"/>
        </w:rPr>
        <w:t xml:space="preserve"> tax credit to convert office buildings into other uses</w:t>
      </w:r>
      <w:r w:rsidR="003E4B22">
        <w:rPr>
          <w:rFonts w:ascii="Georgia" w:hAnsi="Georgia"/>
        </w:rPr>
        <w:t xml:space="preserve">, including residential use. </w:t>
      </w:r>
      <w:r w:rsidR="00430A16">
        <w:rPr>
          <w:rFonts w:ascii="Georgia" w:hAnsi="Georgia"/>
        </w:rPr>
        <w:t xml:space="preserve">Rep. </w:t>
      </w:r>
      <w:r w:rsidR="00D86FB2">
        <w:rPr>
          <w:rFonts w:ascii="Georgia" w:hAnsi="Georgia"/>
        </w:rPr>
        <w:t xml:space="preserve">Jimmy </w:t>
      </w:r>
      <w:r w:rsidR="00430A16">
        <w:rPr>
          <w:rFonts w:ascii="Georgia" w:hAnsi="Georgia"/>
        </w:rPr>
        <w:t xml:space="preserve">Gomez has introduced companion legislation (H.R. </w:t>
      </w:r>
      <w:r w:rsidR="00D86FB2">
        <w:rPr>
          <w:rFonts w:ascii="Georgia" w:hAnsi="Georgia"/>
        </w:rPr>
        <w:t xml:space="preserve">4759) in the House of Representatives. The multifamily industry is interested in working with Congress on this </w:t>
      </w:r>
      <w:r w:rsidR="004F14CA">
        <w:rPr>
          <w:rFonts w:ascii="Georgia" w:hAnsi="Georgia"/>
        </w:rPr>
        <w:t xml:space="preserve">type of proposal but would like to see it modified to enable other types of </w:t>
      </w:r>
      <w:r w:rsidR="00FB5F4D">
        <w:rPr>
          <w:rFonts w:ascii="Georgia" w:hAnsi="Georgia"/>
        </w:rPr>
        <w:t>commercial</w:t>
      </w:r>
      <w:r w:rsidR="004F14CA">
        <w:rPr>
          <w:rFonts w:ascii="Georgia" w:hAnsi="Georgia"/>
        </w:rPr>
        <w:t xml:space="preserve"> properties (e.g., </w:t>
      </w:r>
      <w:r w:rsidR="00FB5F4D">
        <w:rPr>
          <w:rFonts w:ascii="Georgia" w:hAnsi="Georgia"/>
        </w:rPr>
        <w:t>shopping centers and hotels) to qualify for the tax in</w:t>
      </w:r>
      <w:r w:rsidR="00857DE7">
        <w:rPr>
          <w:rFonts w:ascii="Georgia" w:hAnsi="Georgia"/>
        </w:rPr>
        <w:t xml:space="preserve">centive, as well as to ensure REITs could </w:t>
      </w:r>
      <w:r w:rsidR="00001E3D">
        <w:rPr>
          <w:rFonts w:ascii="Georgia" w:hAnsi="Georgia"/>
        </w:rPr>
        <w:t xml:space="preserve">utilize the </w:t>
      </w:r>
      <w:r w:rsidR="00857DE7">
        <w:rPr>
          <w:rFonts w:ascii="Georgia" w:hAnsi="Georgia"/>
        </w:rPr>
        <w:t xml:space="preserve">benefit. </w:t>
      </w:r>
    </w:p>
    <w:p w14:paraId="55A5C29C" w14:textId="176C1EE6" w:rsidR="002A0DE8" w:rsidRPr="002A0DE8" w:rsidRDefault="00857DE7" w:rsidP="002A0DE8">
      <w:pPr>
        <w:spacing w:line="240" w:lineRule="exact"/>
        <w:jc w:val="both"/>
        <w:rPr>
          <w:rFonts w:ascii="Georgia" w:hAnsi="Georgia"/>
        </w:rPr>
      </w:pPr>
      <w:r>
        <w:rPr>
          <w:rFonts w:ascii="Georgia" w:hAnsi="Georgia"/>
        </w:rPr>
        <w:t xml:space="preserve">Alternatively, the multifamily industry would </w:t>
      </w:r>
      <w:r w:rsidR="00376058">
        <w:rPr>
          <w:rFonts w:ascii="Georgia" w:hAnsi="Georgia"/>
        </w:rPr>
        <w:t>encourage Congress to explore whether tax-exempt private activity bonds could be used as a means of promoting adaptive reuse. Housing finance agencies could issue such bonds to help facilitate adaptive reuse of underutilized properties</w:t>
      </w:r>
      <w:r w:rsidR="002A0DE8">
        <w:rPr>
          <w:rFonts w:ascii="Georgia" w:hAnsi="Georgia"/>
        </w:rPr>
        <w:t xml:space="preserve">, particularly in areas </w:t>
      </w:r>
      <w:r w:rsidR="002A0DE8" w:rsidRPr="002A0DE8">
        <w:rPr>
          <w:rFonts w:ascii="Georgia" w:hAnsi="Georgia"/>
        </w:rPr>
        <w:t xml:space="preserve">that have a plan to track discriminatory land-use policies as envisioned by the </w:t>
      </w:r>
      <w:r w:rsidR="002A0DE8" w:rsidRPr="005A41B7">
        <w:rPr>
          <w:rFonts w:ascii="Georgia" w:hAnsi="Georgia"/>
          <w:b/>
          <w:bCs/>
          <w:i/>
          <w:iCs/>
        </w:rPr>
        <w:t>Yes In My Backyard</w:t>
      </w:r>
      <w:r w:rsidR="00B72B66">
        <w:rPr>
          <w:rFonts w:ascii="Georgia" w:hAnsi="Georgia"/>
          <w:b/>
          <w:bCs/>
          <w:i/>
          <w:iCs/>
        </w:rPr>
        <w:t xml:space="preserve"> Act</w:t>
      </w:r>
      <w:r w:rsidR="002A0DE8" w:rsidRPr="005A41B7">
        <w:rPr>
          <w:rFonts w:ascii="Georgia" w:hAnsi="Georgia"/>
          <w:b/>
          <w:bCs/>
          <w:i/>
          <w:iCs/>
        </w:rPr>
        <w:t xml:space="preserve"> (YIMBY</w:t>
      </w:r>
      <w:r w:rsidR="00B72B66">
        <w:rPr>
          <w:rFonts w:ascii="Georgia" w:hAnsi="Georgia"/>
          <w:b/>
          <w:bCs/>
          <w:i/>
          <w:iCs/>
        </w:rPr>
        <w:t xml:space="preserve"> Act</w:t>
      </w:r>
      <w:r w:rsidR="002A0DE8" w:rsidRPr="005A41B7">
        <w:rPr>
          <w:rFonts w:ascii="Georgia" w:hAnsi="Georgia"/>
          <w:b/>
          <w:bCs/>
          <w:i/>
          <w:iCs/>
        </w:rPr>
        <w:t xml:space="preserve">) </w:t>
      </w:r>
      <w:r w:rsidR="00BE15E2">
        <w:rPr>
          <w:rFonts w:ascii="Georgia" w:hAnsi="Georgia"/>
        </w:rPr>
        <w:t xml:space="preserve">(S. </w:t>
      </w:r>
      <w:r w:rsidR="009A1D56">
        <w:rPr>
          <w:rFonts w:ascii="Georgia" w:hAnsi="Georgia"/>
        </w:rPr>
        <w:t>1614 / H.R. 3198)</w:t>
      </w:r>
      <w:r w:rsidR="002A0DE8">
        <w:rPr>
          <w:rFonts w:ascii="Georgia" w:hAnsi="Georgia"/>
        </w:rPr>
        <w:t>.</w:t>
      </w:r>
    </w:p>
    <w:p w14:paraId="3D661D4C" w14:textId="5327B842" w:rsidR="00857DE7" w:rsidRPr="00D263BC" w:rsidRDefault="00857DE7" w:rsidP="003D4A6E">
      <w:pPr>
        <w:spacing w:after="0" w:line="240" w:lineRule="exact"/>
        <w:jc w:val="both"/>
        <w:rPr>
          <w:rFonts w:ascii="Georgia" w:hAnsi="Georgia"/>
        </w:rPr>
      </w:pPr>
    </w:p>
    <w:p w14:paraId="22CF41F5" w14:textId="200CCA50" w:rsidR="00076305" w:rsidRPr="00B658F0" w:rsidRDefault="00076305" w:rsidP="003D4A6E">
      <w:pPr>
        <w:spacing w:after="0" w:line="240" w:lineRule="exact"/>
        <w:jc w:val="both"/>
        <w:rPr>
          <w:rFonts w:ascii="Georgia" w:hAnsi="Georgia"/>
          <w:b/>
          <w:bCs/>
          <w:i/>
          <w:iCs/>
        </w:rPr>
      </w:pPr>
      <w:r w:rsidRPr="00B658F0">
        <w:rPr>
          <w:rFonts w:ascii="Georgia" w:hAnsi="Georgia"/>
          <w:b/>
          <w:bCs/>
          <w:i/>
          <w:iCs/>
        </w:rPr>
        <w:t>Promote the Rehabilitation of Multifamily Housing Located Near Transit</w:t>
      </w:r>
    </w:p>
    <w:p w14:paraId="77142E2B" w14:textId="77777777" w:rsidR="005A3D21" w:rsidRPr="00B658F0" w:rsidRDefault="005A3D21" w:rsidP="003D4A6E">
      <w:pPr>
        <w:spacing w:after="0" w:line="240" w:lineRule="exact"/>
        <w:jc w:val="both"/>
        <w:rPr>
          <w:rFonts w:ascii="Georgia" w:hAnsi="Georgia"/>
          <w:b/>
          <w:bCs/>
          <w:i/>
          <w:iCs/>
        </w:rPr>
      </w:pPr>
    </w:p>
    <w:p w14:paraId="04220E9A" w14:textId="78D93E99" w:rsidR="00076305" w:rsidRPr="00B658F0" w:rsidRDefault="00076305" w:rsidP="003D4A6E">
      <w:pPr>
        <w:spacing w:after="0" w:line="240" w:lineRule="exact"/>
        <w:jc w:val="both"/>
        <w:rPr>
          <w:rFonts w:ascii="Georgia" w:hAnsi="Georgia"/>
        </w:rPr>
      </w:pPr>
      <w:r w:rsidRPr="00B658F0">
        <w:rPr>
          <w:rFonts w:ascii="Georgia" w:hAnsi="Georgia"/>
        </w:rPr>
        <w:t>NMHC</w:t>
      </w:r>
      <w:r w:rsidR="00E41028" w:rsidRPr="00B658F0">
        <w:rPr>
          <w:rFonts w:ascii="Georgia" w:hAnsi="Georgia"/>
        </w:rPr>
        <w:t xml:space="preserve"> and NAA </w:t>
      </w:r>
      <w:r w:rsidRPr="00B658F0">
        <w:rPr>
          <w:rFonts w:ascii="Georgia" w:hAnsi="Georgia"/>
        </w:rPr>
        <w:t xml:space="preserve">strongly support bipartisan legislation that </w:t>
      </w:r>
      <w:r w:rsidR="00E80A79" w:rsidRPr="00B658F0">
        <w:rPr>
          <w:rFonts w:ascii="Georgia" w:hAnsi="Georgia"/>
        </w:rPr>
        <w:t>would</w:t>
      </w:r>
      <w:r w:rsidRPr="00B658F0">
        <w:rPr>
          <w:rFonts w:ascii="Georgia" w:hAnsi="Georgia"/>
        </w:rPr>
        <w:t xml:space="preserve"> provide a new tool aimed at encouraging greater community development and inclusive neighborhood revitalization. </w:t>
      </w:r>
      <w:r w:rsidR="00A621B2" w:rsidRPr="00B658F0">
        <w:rPr>
          <w:rFonts w:ascii="Georgia" w:hAnsi="Georgia"/>
        </w:rPr>
        <w:t xml:space="preserve">Introduced by </w:t>
      </w:r>
      <w:r w:rsidR="005A03AA" w:rsidRPr="00B658F0">
        <w:rPr>
          <w:rFonts w:ascii="Georgia" w:hAnsi="Georgia"/>
        </w:rPr>
        <w:t xml:space="preserve">House </w:t>
      </w:r>
      <w:r w:rsidR="00A621B2" w:rsidRPr="00B658F0">
        <w:rPr>
          <w:rFonts w:ascii="Georgia" w:hAnsi="Georgia"/>
        </w:rPr>
        <w:t>Ways and Means Committee member Earl Blumenauer and cosponsored by committee members Mike Kelly, Dan Kildee, and Darin LaHood, t</w:t>
      </w:r>
      <w:r w:rsidRPr="00B658F0">
        <w:rPr>
          <w:rFonts w:ascii="Georgia" w:hAnsi="Georgia"/>
        </w:rPr>
        <w:t xml:space="preserve">he </w:t>
      </w:r>
      <w:r w:rsidRPr="00B658F0">
        <w:rPr>
          <w:rFonts w:ascii="Georgia" w:hAnsi="Georgia"/>
          <w:b/>
          <w:bCs/>
          <w:i/>
          <w:iCs/>
        </w:rPr>
        <w:t>Revitalizing Economies, Housing and Business Act</w:t>
      </w:r>
      <w:r w:rsidRPr="00B658F0">
        <w:rPr>
          <w:rFonts w:ascii="Georgia" w:hAnsi="Georgia"/>
          <w:b/>
          <w:bCs/>
        </w:rPr>
        <w:t xml:space="preserve"> </w:t>
      </w:r>
      <w:r w:rsidRPr="004727F7">
        <w:rPr>
          <w:rFonts w:ascii="Georgia" w:hAnsi="Georgia"/>
          <w:b/>
          <w:bCs/>
          <w:i/>
          <w:iCs/>
        </w:rPr>
        <w:t>(REHAB Act)</w:t>
      </w:r>
      <w:r w:rsidRPr="00B658F0">
        <w:rPr>
          <w:rFonts w:ascii="Georgia" w:hAnsi="Georgia"/>
        </w:rPr>
        <w:t xml:space="preserve"> (H.R. 1483) provides:   </w:t>
      </w:r>
    </w:p>
    <w:p w14:paraId="79946512" w14:textId="77777777" w:rsidR="00E80A79" w:rsidRPr="00B658F0" w:rsidRDefault="00E80A79" w:rsidP="003D4A6E">
      <w:pPr>
        <w:spacing w:after="0" w:line="240" w:lineRule="exact"/>
        <w:jc w:val="both"/>
        <w:rPr>
          <w:rFonts w:ascii="Georgia" w:hAnsi="Georgia"/>
        </w:rPr>
      </w:pPr>
    </w:p>
    <w:p w14:paraId="60965BCA" w14:textId="77777777" w:rsidR="005A3D21" w:rsidRPr="00B658F0" w:rsidRDefault="00076305" w:rsidP="00B658F0">
      <w:pPr>
        <w:pStyle w:val="ListParagraph"/>
        <w:numPr>
          <w:ilvl w:val="0"/>
          <w:numId w:val="6"/>
        </w:numPr>
        <w:spacing w:after="0" w:line="240" w:lineRule="exact"/>
        <w:jc w:val="both"/>
        <w:rPr>
          <w:rFonts w:ascii="Georgia" w:hAnsi="Georgia"/>
        </w:rPr>
      </w:pPr>
      <w:r w:rsidRPr="00B658F0">
        <w:rPr>
          <w:rFonts w:ascii="Georgia" w:hAnsi="Georgia"/>
        </w:rPr>
        <w:t>a 15 percent tax rehabilitation credit for buildings</w:t>
      </w:r>
      <w:r w:rsidRPr="00B658F0">
        <w:rPr>
          <w:rFonts w:ascii="Times New Roman" w:hAnsi="Times New Roman" w:cs="Times New Roman"/>
        </w:rPr>
        <w:t> </w:t>
      </w:r>
      <w:r w:rsidRPr="00B658F0">
        <w:rPr>
          <w:rFonts w:ascii="Georgia" w:hAnsi="Georgia"/>
        </w:rPr>
        <w:t>that are more than 50 years</w:t>
      </w:r>
      <w:r w:rsidRPr="00B658F0">
        <w:rPr>
          <w:rFonts w:ascii="Times New Roman" w:hAnsi="Times New Roman" w:cs="Times New Roman"/>
        </w:rPr>
        <w:t> </w:t>
      </w:r>
      <w:r w:rsidRPr="00B658F0">
        <w:rPr>
          <w:rFonts w:ascii="Georgia" w:hAnsi="Georgia"/>
        </w:rPr>
        <w:t>old, not certified historic structures, and are within one-half of a mile of a public transportation station;</w:t>
      </w:r>
      <w:r w:rsidRPr="00B658F0">
        <w:rPr>
          <w:rFonts w:ascii="Times New Roman" w:hAnsi="Times New Roman" w:cs="Times New Roman"/>
        </w:rPr>
        <w:t> </w:t>
      </w:r>
      <w:r w:rsidRPr="00B658F0">
        <w:rPr>
          <w:rFonts w:ascii="Georgia" w:hAnsi="Georgia"/>
        </w:rPr>
        <w:t xml:space="preserve"> </w:t>
      </w:r>
    </w:p>
    <w:p w14:paraId="5A9663D9" w14:textId="77777777" w:rsidR="005A3D21" w:rsidRPr="00B658F0" w:rsidRDefault="00076305" w:rsidP="00B658F0">
      <w:pPr>
        <w:pStyle w:val="ListParagraph"/>
        <w:numPr>
          <w:ilvl w:val="0"/>
          <w:numId w:val="6"/>
        </w:numPr>
        <w:spacing w:after="0" w:line="240" w:lineRule="exact"/>
        <w:jc w:val="both"/>
        <w:rPr>
          <w:rFonts w:ascii="Georgia" w:hAnsi="Georgia"/>
        </w:rPr>
      </w:pPr>
      <w:r w:rsidRPr="00B658F0">
        <w:rPr>
          <w:rFonts w:ascii="Georgia" w:hAnsi="Georgia"/>
        </w:rPr>
        <w:t>expanded credit eligibility</w:t>
      </w:r>
      <w:r w:rsidRPr="00B658F0">
        <w:rPr>
          <w:rFonts w:ascii="Times New Roman" w:hAnsi="Times New Roman" w:cs="Times New Roman"/>
        </w:rPr>
        <w:t> </w:t>
      </w:r>
      <w:r w:rsidRPr="00B658F0">
        <w:rPr>
          <w:rFonts w:ascii="Georgia" w:hAnsi="Georgia"/>
        </w:rPr>
        <w:t>to include building expansion on the same block; and</w:t>
      </w:r>
      <w:r w:rsidRPr="00B658F0">
        <w:rPr>
          <w:rFonts w:ascii="Times New Roman" w:hAnsi="Times New Roman" w:cs="Times New Roman"/>
        </w:rPr>
        <w:t> </w:t>
      </w:r>
      <w:r w:rsidRPr="00B658F0">
        <w:rPr>
          <w:rFonts w:ascii="Georgia" w:hAnsi="Georgia"/>
        </w:rPr>
        <w:t xml:space="preserve"> </w:t>
      </w:r>
    </w:p>
    <w:p w14:paraId="5CE809FC" w14:textId="1B510BF6" w:rsidR="00076305" w:rsidRPr="00B658F0" w:rsidRDefault="00076305" w:rsidP="00B658F0">
      <w:pPr>
        <w:pStyle w:val="ListParagraph"/>
        <w:numPr>
          <w:ilvl w:val="0"/>
          <w:numId w:val="6"/>
        </w:numPr>
        <w:spacing w:after="0" w:line="240" w:lineRule="exact"/>
        <w:jc w:val="both"/>
        <w:rPr>
          <w:rFonts w:ascii="Georgia" w:hAnsi="Georgia"/>
        </w:rPr>
      </w:pPr>
      <w:r w:rsidRPr="00B658F0">
        <w:rPr>
          <w:rFonts w:ascii="Georgia" w:hAnsi="Georgia"/>
        </w:rPr>
        <w:t xml:space="preserve">a bonus credit of 25 percent for expenses related to public infrastructure upgrades and rent-restricted housing. </w:t>
      </w:r>
    </w:p>
    <w:p w14:paraId="349ED460" w14:textId="77777777" w:rsidR="00B658F0" w:rsidRDefault="00B658F0" w:rsidP="003D4A6E">
      <w:pPr>
        <w:spacing w:after="0" w:line="240" w:lineRule="exact"/>
        <w:jc w:val="both"/>
        <w:rPr>
          <w:rFonts w:ascii="Georgia" w:hAnsi="Georgia"/>
          <w:b/>
          <w:bCs/>
          <w:i/>
          <w:iCs/>
        </w:rPr>
      </w:pPr>
    </w:p>
    <w:p w14:paraId="79160EBC" w14:textId="40310BCF" w:rsidR="005B25E2" w:rsidRPr="00B658F0" w:rsidRDefault="002B1E5C" w:rsidP="003D4A6E">
      <w:pPr>
        <w:spacing w:after="0" w:line="240" w:lineRule="exact"/>
        <w:jc w:val="both"/>
        <w:rPr>
          <w:rFonts w:ascii="Georgia" w:hAnsi="Georgia"/>
        </w:rPr>
      </w:pPr>
      <w:r w:rsidRPr="00B658F0">
        <w:rPr>
          <w:rFonts w:ascii="Georgia" w:hAnsi="Georgia"/>
          <w:b/>
          <w:bCs/>
          <w:i/>
          <w:iCs/>
        </w:rPr>
        <w:t xml:space="preserve">Strengthen </w:t>
      </w:r>
      <w:r w:rsidR="005B25E2" w:rsidRPr="00B658F0">
        <w:rPr>
          <w:rFonts w:ascii="Georgia" w:hAnsi="Georgia"/>
          <w:b/>
          <w:bCs/>
          <w:i/>
          <w:iCs/>
        </w:rPr>
        <w:t>C</w:t>
      </w:r>
      <w:r w:rsidRPr="00B658F0">
        <w:rPr>
          <w:rFonts w:ascii="Georgia" w:hAnsi="Georgia"/>
          <w:b/>
          <w:bCs/>
          <w:i/>
          <w:iCs/>
        </w:rPr>
        <w:t xml:space="preserve">ommunities through </w:t>
      </w:r>
      <w:r w:rsidR="005B25E2" w:rsidRPr="00B658F0">
        <w:rPr>
          <w:rFonts w:ascii="Georgia" w:hAnsi="Georgia"/>
          <w:b/>
          <w:bCs/>
          <w:i/>
          <w:iCs/>
        </w:rPr>
        <w:t>P</w:t>
      </w:r>
      <w:r w:rsidRPr="00B658F0">
        <w:rPr>
          <w:rFonts w:ascii="Georgia" w:hAnsi="Georgia"/>
          <w:b/>
          <w:bCs/>
          <w:i/>
          <w:iCs/>
        </w:rPr>
        <w:t xml:space="preserve">olicies that </w:t>
      </w:r>
      <w:r w:rsidR="005B25E2" w:rsidRPr="00B658F0">
        <w:rPr>
          <w:rFonts w:ascii="Georgia" w:hAnsi="Georgia"/>
          <w:b/>
          <w:bCs/>
          <w:i/>
          <w:iCs/>
        </w:rPr>
        <w:t>S</w:t>
      </w:r>
      <w:r w:rsidRPr="00B658F0">
        <w:rPr>
          <w:rFonts w:ascii="Georgia" w:hAnsi="Georgia"/>
          <w:b/>
          <w:bCs/>
          <w:i/>
          <w:iCs/>
        </w:rPr>
        <w:t xml:space="preserve">upport </w:t>
      </w:r>
      <w:r w:rsidR="005B25E2" w:rsidRPr="00B658F0">
        <w:rPr>
          <w:rFonts w:ascii="Georgia" w:hAnsi="Georgia"/>
          <w:b/>
          <w:bCs/>
          <w:i/>
          <w:iCs/>
        </w:rPr>
        <w:t>R</w:t>
      </w:r>
      <w:r w:rsidRPr="00B658F0">
        <w:rPr>
          <w:rFonts w:ascii="Georgia" w:hAnsi="Georgia"/>
          <w:b/>
          <w:bCs/>
          <w:i/>
          <w:iCs/>
        </w:rPr>
        <w:t>esiliency</w:t>
      </w:r>
    </w:p>
    <w:p w14:paraId="5FE85567" w14:textId="77777777" w:rsidR="005B25E2" w:rsidRPr="00B658F0" w:rsidRDefault="005B25E2" w:rsidP="003D4A6E">
      <w:pPr>
        <w:spacing w:after="0" w:line="240" w:lineRule="exact"/>
        <w:jc w:val="both"/>
        <w:rPr>
          <w:rFonts w:ascii="Georgia" w:hAnsi="Georgia"/>
        </w:rPr>
      </w:pPr>
    </w:p>
    <w:p w14:paraId="286DCA01" w14:textId="7D6E0611" w:rsidR="003B30FA" w:rsidRPr="00B658F0" w:rsidRDefault="005B25E2" w:rsidP="003D4A6E">
      <w:pPr>
        <w:spacing w:after="0" w:line="240" w:lineRule="exact"/>
        <w:jc w:val="both"/>
        <w:rPr>
          <w:rFonts w:ascii="Georgia" w:hAnsi="Georgia"/>
        </w:rPr>
      </w:pPr>
      <w:r w:rsidRPr="00B658F0">
        <w:rPr>
          <w:rFonts w:ascii="Georgia" w:hAnsi="Georgia"/>
        </w:rPr>
        <w:t>Building utility</w:t>
      </w:r>
      <w:r w:rsidR="00076305" w:rsidRPr="00B658F0">
        <w:rPr>
          <w:rFonts w:ascii="Georgia" w:hAnsi="Georgia"/>
        </w:rPr>
        <w:t xml:space="preserve"> costs are second only to debt service in terms of property expenses. Efficient use of resources, including updating building systems and appliances, is key to ensuring that housing remain</w:t>
      </w:r>
      <w:r w:rsidR="00C3272B" w:rsidRPr="00B658F0">
        <w:rPr>
          <w:rFonts w:ascii="Georgia" w:hAnsi="Georgia"/>
        </w:rPr>
        <w:t>s</w:t>
      </w:r>
      <w:r w:rsidR="00076305" w:rsidRPr="00B658F0">
        <w:rPr>
          <w:rFonts w:ascii="Georgia" w:hAnsi="Georgia"/>
        </w:rPr>
        <w:t xml:space="preserve"> affordable for residents. The multifamily industry has a long</w:t>
      </w:r>
      <w:r w:rsidR="00EE23C5" w:rsidRPr="00B658F0">
        <w:rPr>
          <w:rFonts w:ascii="Georgia" w:hAnsi="Georgia"/>
        </w:rPr>
        <w:t xml:space="preserve"> </w:t>
      </w:r>
      <w:r w:rsidR="00076305" w:rsidRPr="00B658F0">
        <w:rPr>
          <w:rFonts w:ascii="Georgia" w:hAnsi="Georgia"/>
        </w:rPr>
        <w:t xml:space="preserve">history of support for </w:t>
      </w:r>
      <w:r w:rsidR="007A2F9A" w:rsidRPr="00B658F0">
        <w:rPr>
          <w:rFonts w:ascii="Georgia" w:hAnsi="Georgia"/>
        </w:rPr>
        <w:t>building</w:t>
      </w:r>
      <w:r w:rsidR="00C3272B" w:rsidRPr="00B658F0">
        <w:rPr>
          <w:rFonts w:ascii="Georgia" w:hAnsi="Georgia"/>
        </w:rPr>
        <w:t>-</w:t>
      </w:r>
      <w:r w:rsidR="007A2F9A" w:rsidRPr="00B658F0">
        <w:rPr>
          <w:rFonts w:ascii="Georgia" w:hAnsi="Georgia"/>
        </w:rPr>
        <w:t>performance benchmarking</w:t>
      </w:r>
      <w:r w:rsidR="00C3272B" w:rsidRPr="00B658F0">
        <w:rPr>
          <w:rFonts w:ascii="Georgia" w:hAnsi="Georgia"/>
        </w:rPr>
        <w:t xml:space="preserve"> and</w:t>
      </w:r>
      <w:r w:rsidR="007A2F9A" w:rsidRPr="00B658F0">
        <w:rPr>
          <w:rFonts w:ascii="Georgia" w:hAnsi="Georgia"/>
        </w:rPr>
        <w:t xml:space="preserve"> water and energy</w:t>
      </w:r>
      <w:r w:rsidR="00076305" w:rsidRPr="00B658F0">
        <w:rPr>
          <w:rFonts w:ascii="Georgia" w:hAnsi="Georgia"/>
        </w:rPr>
        <w:t xml:space="preserve"> conservation </w:t>
      </w:r>
      <w:r w:rsidR="00F178D4" w:rsidRPr="00B658F0">
        <w:rPr>
          <w:rFonts w:ascii="Georgia" w:hAnsi="Georgia"/>
        </w:rPr>
        <w:t>and</w:t>
      </w:r>
      <w:r w:rsidR="00076305" w:rsidRPr="00B658F0">
        <w:rPr>
          <w:rFonts w:ascii="Georgia" w:hAnsi="Georgia"/>
        </w:rPr>
        <w:t xml:space="preserve"> </w:t>
      </w:r>
      <w:r w:rsidR="00C3272B" w:rsidRPr="00B658F0">
        <w:rPr>
          <w:rFonts w:ascii="Georgia" w:hAnsi="Georgia"/>
        </w:rPr>
        <w:t xml:space="preserve">favors </w:t>
      </w:r>
      <w:r w:rsidR="00076305" w:rsidRPr="00B658F0">
        <w:rPr>
          <w:rFonts w:ascii="Georgia" w:hAnsi="Georgia"/>
        </w:rPr>
        <w:t xml:space="preserve">incentive-based strategies that improve building energy performance and community-wide resiliency efforts. </w:t>
      </w:r>
    </w:p>
    <w:p w14:paraId="5F45B502" w14:textId="77777777" w:rsidR="003B30FA" w:rsidRPr="00B658F0" w:rsidRDefault="003B30FA" w:rsidP="003D4A6E">
      <w:pPr>
        <w:spacing w:after="0" w:line="240" w:lineRule="exact"/>
        <w:jc w:val="both"/>
        <w:rPr>
          <w:rFonts w:ascii="Georgia" w:hAnsi="Georgia"/>
        </w:rPr>
      </w:pPr>
    </w:p>
    <w:p w14:paraId="14B75BE5" w14:textId="368463D9" w:rsidR="00076305" w:rsidRPr="00B658F0" w:rsidRDefault="005E367E" w:rsidP="003D4A6E">
      <w:pPr>
        <w:spacing w:after="0" w:line="240" w:lineRule="exact"/>
        <w:jc w:val="both"/>
        <w:rPr>
          <w:rFonts w:ascii="Georgia" w:hAnsi="Georgia"/>
          <w:b/>
          <w:bCs/>
          <w:i/>
          <w:iCs/>
        </w:rPr>
      </w:pPr>
      <w:r w:rsidRPr="00B658F0">
        <w:rPr>
          <w:rFonts w:ascii="Georgia" w:hAnsi="Georgia"/>
        </w:rPr>
        <w:t xml:space="preserve">Building performance standards that overlook the age of the existing apartment stock and fail </w:t>
      </w:r>
      <w:r w:rsidR="003B30FA" w:rsidRPr="00B658F0">
        <w:rPr>
          <w:rFonts w:ascii="Georgia" w:hAnsi="Georgia"/>
        </w:rPr>
        <w:t>to consider</w:t>
      </w:r>
      <w:r w:rsidRPr="00B658F0">
        <w:rPr>
          <w:rFonts w:ascii="Georgia" w:hAnsi="Georgia"/>
        </w:rPr>
        <w:t xml:space="preserve"> the </w:t>
      </w:r>
      <w:r w:rsidR="00076305" w:rsidRPr="00B658F0">
        <w:rPr>
          <w:rFonts w:ascii="Georgia" w:hAnsi="Georgia"/>
        </w:rPr>
        <w:t xml:space="preserve">inherent efficiencies of </w:t>
      </w:r>
      <w:r w:rsidRPr="00B658F0">
        <w:rPr>
          <w:rFonts w:ascii="Georgia" w:hAnsi="Georgia"/>
        </w:rPr>
        <w:t>compact development that is the hallmark of multifamily design buildings will exacerbate the shortage of affordable apartment units.</w:t>
      </w:r>
      <w:r w:rsidR="003B30FA" w:rsidRPr="00B658F0">
        <w:rPr>
          <w:rFonts w:ascii="Georgia" w:hAnsi="Georgia"/>
        </w:rPr>
        <w:t xml:space="preserve"> </w:t>
      </w:r>
      <w:r w:rsidRPr="00B658F0">
        <w:rPr>
          <w:rFonts w:ascii="Georgia" w:hAnsi="Georgia"/>
        </w:rPr>
        <w:t xml:space="preserve">Policies that provide financial assistance for owners to reinvest in </w:t>
      </w:r>
      <w:r w:rsidR="007A2F9A" w:rsidRPr="00B658F0">
        <w:rPr>
          <w:rFonts w:ascii="Georgia" w:hAnsi="Georgia"/>
        </w:rPr>
        <w:t>higher</w:t>
      </w:r>
      <w:r w:rsidR="00C3272B" w:rsidRPr="00B658F0">
        <w:rPr>
          <w:rFonts w:ascii="Georgia" w:hAnsi="Georgia"/>
        </w:rPr>
        <w:t>-</w:t>
      </w:r>
      <w:r w:rsidR="007A2F9A" w:rsidRPr="00B658F0">
        <w:rPr>
          <w:rFonts w:ascii="Georgia" w:hAnsi="Georgia"/>
        </w:rPr>
        <w:t xml:space="preserve">performing </w:t>
      </w:r>
      <w:r w:rsidRPr="00B658F0">
        <w:rPr>
          <w:rFonts w:ascii="Georgia" w:hAnsi="Georgia"/>
        </w:rPr>
        <w:t xml:space="preserve">building systems and components outside of replacement </w:t>
      </w:r>
      <w:r w:rsidRPr="00B658F0">
        <w:rPr>
          <w:rFonts w:ascii="Georgia" w:hAnsi="Georgia"/>
          <w:i/>
          <w:iCs/>
        </w:rPr>
        <w:t>pro</w:t>
      </w:r>
      <w:r w:rsidR="007A2F9A" w:rsidRPr="00B658F0">
        <w:rPr>
          <w:rFonts w:ascii="Georgia" w:hAnsi="Georgia"/>
          <w:i/>
          <w:iCs/>
        </w:rPr>
        <w:t xml:space="preserve"> </w:t>
      </w:r>
      <w:r w:rsidRPr="00B658F0">
        <w:rPr>
          <w:rFonts w:ascii="Georgia" w:hAnsi="Georgia"/>
          <w:i/>
          <w:iCs/>
        </w:rPr>
        <w:t xml:space="preserve">formas </w:t>
      </w:r>
      <w:r w:rsidRPr="00B658F0">
        <w:rPr>
          <w:rFonts w:ascii="Georgia" w:hAnsi="Georgia"/>
        </w:rPr>
        <w:t xml:space="preserve">will be </w:t>
      </w:r>
      <w:r w:rsidR="003B30FA" w:rsidRPr="00B658F0">
        <w:rPr>
          <w:rFonts w:ascii="Georgia" w:hAnsi="Georgia"/>
        </w:rPr>
        <w:t xml:space="preserve">critical to </w:t>
      </w:r>
      <w:r w:rsidRPr="00B658F0">
        <w:rPr>
          <w:rFonts w:ascii="Georgia" w:hAnsi="Georgia"/>
        </w:rPr>
        <w:t>advancing building performance goals.</w:t>
      </w:r>
      <w:r w:rsidR="003B30FA" w:rsidRPr="00B658F0">
        <w:rPr>
          <w:rFonts w:ascii="Georgia" w:hAnsi="Georgia"/>
        </w:rPr>
        <w:t xml:space="preserve"> </w:t>
      </w:r>
      <w:r w:rsidRPr="00B658F0">
        <w:rPr>
          <w:rFonts w:ascii="Georgia" w:hAnsi="Georgia"/>
        </w:rPr>
        <w:t>Lay</w:t>
      </w:r>
      <w:r w:rsidR="00C3272B" w:rsidRPr="00B658F0">
        <w:rPr>
          <w:rFonts w:ascii="Georgia" w:hAnsi="Georgia"/>
        </w:rPr>
        <w:t>er</w:t>
      </w:r>
      <w:r w:rsidRPr="00B658F0">
        <w:rPr>
          <w:rFonts w:ascii="Georgia" w:hAnsi="Georgia"/>
        </w:rPr>
        <w:t>ing additional conditions on these investment</w:t>
      </w:r>
      <w:r w:rsidR="00C3272B" w:rsidRPr="00B658F0">
        <w:rPr>
          <w:rFonts w:ascii="Georgia" w:hAnsi="Georgia"/>
        </w:rPr>
        <w:t>s,</w:t>
      </w:r>
      <w:r w:rsidRPr="00B658F0">
        <w:rPr>
          <w:rFonts w:ascii="Georgia" w:hAnsi="Georgia"/>
        </w:rPr>
        <w:t xml:space="preserve"> including requirements about the </w:t>
      </w:r>
      <w:r w:rsidR="003B30FA" w:rsidRPr="00B658F0">
        <w:rPr>
          <w:rFonts w:ascii="Georgia" w:hAnsi="Georgia"/>
        </w:rPr>
        <w:t>w</w:t>
      </w:r>
      <w:r w:rsidRPr="00B658F0">
        <w:rPr>
          <w:rFonts w:ascii="Georgia" w:hAnsi="Georgia"/>
        </w:rPr>
        <w:t xml:space="preserve">orkforce that </w:t>
      </w:r>
      <w:r w:rsidR="00C3272B" w:rsidRPr="00B658F0">
        <w:rPr>
          <w:rFonts w:ascii="Georgia" w:hAnsi="Georgia"/>
        </w:rPr>
        <w:t xml:space="preserve">must </w:t>
      </w:r>
      <w:r w:rsidRPr="00B658F0">
        <w:rPr>
          <w:rFonts w:ascii="Georgia" w:hAnsi="Georgia"/>
        </w:rPr>
        <w:t>be employed to make these renovations</w:t>
      </w:r>
      <w:r w:rsidR="00C3272B" w:rsidRPr="00B658F0">
        <w:rPr>
          <w:rFonts w:ascii="Georgia" w:hAnsi="Georgia"/>
        </w:rPr>
        <w:t>,</w:t>
      </w:r>
      <w:r w:rsidRPr="00B658F0">
        <w:rPr>
          <w:rFonts w:ascii="Georgia" w:hAnsi="Georgia"/>
        </w:rPr>
        <w:t xml:space="preserve"> will eliminate the utility of the </w:t>
      </w:r>
      <w:r w:rsidR="003B30FA" w:rsidRPr="00B658F0">
        <w:rPr>
          <w:rFonts w:ascii="Georgia" w:hAnsi="Georgia"/>
        </w:rPr>
        <w:t xml:space="preserve">efficiency </w:t>
      </w:r>
      <w:r w:rsidRPr="00B658F0">
        <w:rPr>
          <w:rFonts w:ascii="Georgia" w:hAnsi="Georgia"/>
        </w:rPr>
        <w:t xml:space="preserve">incentives that have been available under Sec. 45L or </w:t>
      </w:r>
      <w:r w:rsidR="00025663" w:rsidRPr="00B658F0">
        <w:rPr>
          <w:rFonts w:ascii="Georgia" w:hAnsi="Georgia"/>
        </w:rPr>
        <w:t>Sec. 179D.</w:t>
      </w:r>
    </w:p>
    <w:p w14:paraId="09760C0E" w14:textId="77777777" w:rsidR="005A3D21" w:rsidRPr="00B658F0" w:rsidRDefault="005A3D21" w:rsidP="003D4A6E">
      <w:pPr>
        <w:spacing w:after="0" w:line="240" w:lineRule="exact"/>
        <w:jc w:val="both"/>
        <w:rPr>
          <w:rFonts w:ascii="Georgia" w:hAnsi="Georgia"/>
        </w:rPr>
      </w:pPr>
    </w:p>
    <w:p w14:paraId="3CF30CF3" w14:textId="47418259" w:rsidR="007A2F9A" w:rsidRPr="00B658F0" w:rsidRDefault="00076305" w:rsidP="007A2F9A">
      <w:pPr>
        <w:spacing w:after="0" w:line="240" w:lineRule="exact"/>
        <w:jc w:val="both"/>
        <w:rPr>
          <w:rFonts w:ascii="Georgia" w:hAnsi="Georgia"/>
        </w:rPr>
      </w:pPr>
      <w:r w:rsidRPr="00B658F0">
        <w:rPr>
          <w:rFonts w:ascii="Georgia" w:hAnsi="Georgia"/>
        </w:rPr>
        <w:t>As Congress considers legislation to promote resilience and reduce greenhouse gas emissions across the economy, programs that address building energy performance are an essential element.</w:t>
      </w:r>
      <w:r w:rsidR="005A3D21" w:rsidRPr="00B658F0">
        <w:rPr>
          <w:rFonts w:ascii="Georgia" w:hAnsi="Georgia"/>
        </w:rPr>
        <w:t xml:space="preserve"> </w:t>
      </w:r>
      <w:r w:rsidRPr="00B658F0">
        <w:rPr>
          <w:rFonts w:ascii="Georgia" w:hAnsi="Georgia"/>
        </w:rPr>
        <w:t xml:space="preserve">Policymakers </w:t>
      </w:r>
      <w:r w:rsidR="007A2F9A" w:rsidRPr="00B658F0">
        <w:rPr>
          <w:rFonts w:ascii="Georgia" w:hAnsi="Georgia"/>
        </w:rPr>
        <w:t xml:space="preserve">should resist applying </w:t>
      </w:r>
      <w:r w:rsidRPr="00B658F0">
        <w:rPr>
          <w:rFonts w:ascii="Georgia" w:hAnsi="Georgia"/>
        </w:rPr>
        <w:t>one- size-fits-all efficiency mandates that</w:t>
      </w:r>
      <w:r w:rsidR="007A2F9A" w:rsidRPr="00B658F0">
        <w:rPr>
          <w:rFonts w:ascii="Georgia" w:hAnsi="Georgia"/>
        </w:rPr>
        <w:t xml:space="preserve"> will</w:t>
      </w:r>
      <w:r w:rsidRPr="00B658F0">
        <w:rPr>
          <w:rFonts w:ascii="Georgia" w:hAnsi="Georgia"/>
        </w:rPr>
        <w:t xml:space="preserve"> exacerbate the shortage of affordable housing</w:t>
      </w:r>
      <w:r w:rsidR="007A2F9A" w:rsidRPr="00B658F0">
        <w:rPr>
          <w:rFonts w:ascii="Georgia" w:hAnsi="Georgia"/>
        </w:rPr>
        <w:t xml:space="preserve"> in the near</w:t>
      </w:r>
      <w:r w:rsidR="00C3272B" w:rsidRPr="00B658F0">
        <w:rPr>
          <w:rFonts w:ascii="Georgia" w:hAnsi="Georgia"/>
        </w:rPr>
        <w:t xml:space="preserve"> </w:t>
      </w:r>
      <w:r w:rsidR="007A2F9A" w:rsidRPr="00B658F0">
        <w:rPr>
          <w:rFonts w:ascii="Georgia" w:hAnsi="Georgia"/>
        </w:rPr>
        <w:t>term</w:t>
      </w:r>
      <w:r w:rsidRPr="00B658F0">
        <w:rPr>
          <w:rFonts w:ascii="Georgia" w:hAnsi="Georgia"/>
        </w:rPr>
        <w:t xml:space="preserve">. </w:t>
      </w:r>
      <w:r w:rsidR="007A2F9A" w:rsidRPr="00B658F0">
        <w:rPr>
          <w:rFonts w:ascii="Georgia" w:hAnsi="Georgia"/>
        </w:rPr>
        <w:t>Incentives that enable developers to invest in engineering, construction and development costs that are required to build</w:t>
      </w:r>
      <w:r w:rsidR="00E001AF" w:rsidRPr="00B658F0">
        <w:rPr>
          <w:rFonts w:ascii="Georgia" w:hAnsi="Georgia"/>
        </w:rPr>
        <w:t>/rehab</w:t>
      </w:r>
      <w:r w:rsidR="007A2F9A" w:rsidRPr="00B658F0">
        <w:rPr>
          <w:rFonts w:ascii="Georgia" w:hAnsi="Georgia"/>
        </w:rPr>
        <w:t xml:space="preserve"> multifamily apartment homes will speed the development of higher</w:t>
      </w:r>
      <w:r w:rsidR="00C3272B" w:rsidRPr="00B658F0">
        <w:rPr>
          <w:rFonts w:ascii="Georgia" w:hAnsi="Georgia"/>
        </w:rPr>
        <w:t>-</w:t>
      </w:r>
      <w:r w:rsidR="007A2F9A" w:rsidRPr="00B658F0">
        <w:rPr>
          <w:rFonts w:ascii="Georgia" w:hAnsi="Georgia"/>
        </w:rPr>
        <w:t>performing, more resilient housing that is affordable for renter households.</w:t>
      </w:r>
    </w:p>
    <w:p w14:paraId="59B17AD3" w14:textId="77777777" w:rsidR="00076305" w:rsidRPr="00B658F0" w:rsidRDefault="00076305" w:rsidP="003D4A6E">
      <w:pPr>
        <w:spacing w:after="0" w:line="240" w:lineRule="exact"/>
        <w:jc w:val="both"/>
        <w:rPr>
          <w:rFonts w:ascii="Georgia" w:hAnsi="Georgia"/>
        </w:rPr>
      </w:pPr>
    </w:p>
    <w:p w14:paraId="08C1D150" w14:textId="71762C9E" w:rsidR="00076305" w:rsidRPr="00B658F0" w:rsidRDefault="00076305" w:rsidP="003D4A6E">
      <w:pPr>
        <w:spacing w:after="0" w:line="240" w:lineRule="exact"/>
        <w:jc w:val="both"/>
        <w:rPr>
          <w:rFonts w:ascii="Georgia" w:hAnsi="Georgia"/>
          <w:i/>
          <w:iCs/>
        </w:rPr>
      </w:pPr>
      <w:r w:rsidRPr="00B658F0">
        <w:rPr>
          <w:rFonts w:ascii="Georgia" w:hAnsi="Georgia"/>
          <w:b/>
          <w:bCs/>
          <w:i/>
          <w:iCs/>
        </w:rPr>
        <w:t>Make Permanent the New Energy Efficient Homes Credit</w:t>
      </w:r>
      <w:r w:rsidRPr="00B658F0">
        <w:rPr>
          <w:rFonts w:ascii="Georgia" w:hAnsi="Georgia"/>
          <w:i/>
          <w:iCs/>
        </w:rPr>
        <w:t xml:space="preserve"> </w:t>
      </w:r>
      <w:r w:rsidRPr="00B658F0">
        <w:rPr>
          <w:rFonts w:ascii="Georgia" w:hAnsi="Georgia"/>
          <w:b/>
          <w:bCs/>
          <w:i/>
          <w:iCs/>
        </w:rPr>
        <w:t>(Sec. 45L)</w:t>
      </w:r>
      <w:r w:rsidR="009A42B5" w:rsidRPr="00B658F0">
        <w:rPr>
          <w:rFonts w:ascii="Georgia" w:hAnsi="Georgia"/>
          <w:b/>
          <w:bCs/>
          <w:i/>
          <w:iCs/>
        </w:rPr>
        <w:t>:</w:t>
      </w:r>
      <w:r w:rsidR="00A371F2" w:rsidRPr="00B658F0">
        <w:rPr>
          <w:rFonts w:ascii="Georgia" w:hAnsi="Georgia"/>
          <w:i/>
          <w:iCs/>
        </w:rPr>
        <w:t xml:space="preserve"> </w:t>
      </w:r>
      <w:r w:rsidRPr="00B658F0">
        <w:rPr>
          <w:rFonts w:ascii="Georgia" w:hAnsi="Georgia"/>
        </w:rPr>
        <w:t xml:space="preserve">This </w:t>
      </w:r>
      <w:r w:rsidR="009A42B5" w:rsidRPr="00B658F0">
        <w:rPr>
          <w:rFonts w:ascii="Georgia" w:hAnsi="Georgia"/>
        </w:rPr>
        <w:t xml:space="preserve">tax </w:t>
      </w:r>
      <w:r w:rsidRPr="00B658F0">
        <w:rPr>
          <w:rFonts w:ascii="Georgia" w:hAnsi="Georgia"/>
        </w:rPr>
        <w:t xml:space="preserve">credit has provided a necessary incentive for builders of apartment buildings (3 stories or fewer) to install higher performance building systems and upgraded appliances than they otherwise could justify within the pro forma for developing the property. While this credit </w:t>
      </w:r>
      <w:r w:rsidR="004A421E">
        <w:rPr>
          <w:rFonts w:ascii="Georgia" w:hAnsi="Georgia"/>
        </w:rPr>
        <w:t>was</w:t>
      </w:r>
      <w:r w:rsidRPr="00B658F0">
        <w:rPr>
          <w:rFonts w:ascii="Georgia" w:hAnsi="Georgia"/>
        </w:rPr>
        <w:t xml:space="preserve"> extended through 2021, it </w:t>
      </w:r>
      <w:r w:rsidR="004A421E">
        <w:rPr>
          <w:rFonts w:ascii="Georgia" w:hAnsi="Georgia"/>
        </w:rPr>
        <w:t xml:space="preserve">has subsequently expired and </w:t>
      </w:r>
      <w:r w:rsidRPr="00B658F0">
        <w:rPr>
          <w:rFonts w:ascii="Georgia" w:hAnsi="Georgia"/>
        </w:rPr>
        <w:t>should be made permanent as a</w:t>
      </w:r>
      <w:r w:rsidR="005A3D21" w:rsidRPr="00B658F0">
        <w:rPr>
          <w:rFonts w:ascii="Georgia" w:hAnsi="Georgia"/>
        </w:rPr>
        <w:t xml:space="preserve">n </w:t>
      </w:r>
      <w:r w:rsidRPr="00B658F0">
        <w:rPr>
          <w:rFonts w:ascii="Georgia" w:hAnsi="Georgia"/>
        </w:rPr>
        <w:t xml:space="preserve">essential part of a national plan to boost production of </w:t>
      </w:r>
      <w:r w:rsidR="00615D04" w:rsidRPr="00B658F0">
        <w:rPr>
          <w:rFonts w:ascii="Georgia" w:hAnsi="Georgia"/>
        </w:rPr>
        <w:t>high-performance</w:t>
      </w:r>
      <w:r w:rsidRPr="00B658F0">
        <w:rPr>
          <w:rFonts w:ascii="Georgia" w:hAnsi="Georgia"/>
        </w:rPr>
        <w:t xml:space="preserve"> buildings and reduce </w:t>
      </w:r>
      <w:r w:rsidR="00615D04" w:rsidRPr="00B658F0">
        <w:rPr>
          <w:rFonts w:ascii="Georgia" w:hAnsi="Georgia"/>
        </w:rPr>
        <w:t>greenhouse</w:t>
      </w:r>
      <w:r w:rsidRPr="00B658F0">
        <w:rPr>
          <w:rFonts w:ascii="Georgia" w:hAnsi="Georgia"/>
        </w:rPr>
        <w:t xml:space="preserve"> gas emissions.  </w:t>
      </w:r>
    </w:p>
    <w:p w14:paraId="39FE968A" w14:textId="782DCBAA" w:rsidR="00A371F2" w:rsidRPr="00B658F0" w:rsidRDefault="00A371F2" w:rsidP="003D4A6E">
      <w:pPr>
        <w:spacing w:after="0" w:line="240" w:lineRule="exact"/>
        <w:jc w:val="both"/>
        <w:rPr>
          <w:rFonts w:ascii="Georgia" w:hAnsi="Georgia"/>
        </w:rPr>
      </w:pPr>
    </w:p>
    <w:p w14:paraId="0FEB2C9A" w14:textId="23A5600A" w:rsidR="00FD21D2" w:rsidRPr="00B658F0" w:rsidRDefault="00FD21D2" w:rsidP="003D4A6E">
      <w:pPr>
        <w:spacing w:after="0" w:line="240" w:lineRule="exact"/>
        <w:jc w:val="both"/>
        <w:rPr>
          <w:rStyle w:val="markedcontent"/>
          <w:rFonts w:ascii="Georgia" w:hAnsi="Georgia" w:cs="Arial"/>
        </w:rPr>
      </w:pPr>
      <w:r w:rsidRPr="00B658F0">
        <w:rPr>
          <w:rFonts w:ascii="Georgia" w:hAnsi="Georgia"/>
          <w:b/>
          <w:bCs/>
          <w:i/>
          <w:iCs/>
        </w:rPr>
        <w:t xml:space="preserve">Improve the </w:t>
      </w:r>
      <w:r w:rsidR="009A42B5" w:rsidRPr="00B658F0">
        <w:rPr>
          <w:rFonts w:ascii="Georgia" w:hAnsi="Georgia"/>
          <w:b/>
          <w:bCs/>
          <w:i/>
          <w:iCs/>
        </w:rPr>
        <w:t xml:space="preserve">Energy Efficient Commercial Buildings Deduction </w:t>
      </w:r>
      <w:r w:rsidRPr="00B658F0">
        <w:rPr>
          <w:rFonts w:ascii="Georgia" w:hAnsi="Georgia"/>
          <w:b/>
          <w:bCs/>
          <w:i/>
          <w:iCs/>
        </w:rPr>
        <w:t>(Sec. 179)</w:t>
      </w:r>
      <w:r w:rsidR="009A42B5" w:rsidRPr="00B658F0">
        <w:rPr>
          <w:rFonts w:ascii="Georgia" w:hAnsi="Georgia"/>
          <w:b/>
          <w:bCs/>
          <w:i/>
          <w:iCs/>
        </w:rPr>
        <w:t>:</w:t>
      </w:r>
      <w:r w:rsidRPr="00B658F0">
        <w:rPr>
          <w:rFonts w:ascii="Georgia" w:hAnsi="Georgia" w:cs="Arial"/>
          <w:sz w:val="30"/>
          <w:szCs w:val="30"/>
        </w:rPr>
        <w:t xml:space="preserve"> </w:t>
      </w:r>
      <w:r w:rsidRPr="00B658F0">
        <w:rPr>
          <w:rStyle w:val="markedcontent"/>
          <w:rFonts w:ascii="Georgia" w:hAnsi="Georgia" w:cs="Arial"/>
        </w:rPr>
        <w:t xml:space="preserve">This </w:t>
      </w:r>
      <w:r w:rsidR="009A42B5" w:rsidRPr="00B658F0">
        <w:rPr>
          <w:rStyle w:val="markedcontent"/>
          <w:rFonts w:ascii="Georgia" w:hAnsi="Georgia" w:cs="Arial"/>
        </w:rPr>
        <w:t>tax deduction</w:t>
      </w:r>
      <w:r w:rsidRPr="00B658F0">
        <w:rPr>
          <w:rStyle w:val="markedcontent"/>
          <w:rFonts w:ascii="Georgia" w:hAnsi="Georgia" w:cs="Arial"/>
        </w:rPr>
        <w:t xml:space="preserve"> has primarily been used to encourage energy</w:t>
      </w:r>
      <w:r w:rsidR="009A42B5" w:rsidRPr="00B658F0">
        <w:rPr>
          <w:rStyle w:val="markedcontent"/>
          <w:rFonts w:ascii="Georgia" w:hAnsi="Georgia" w:cs="Arial"/>
        </w:rPr>
        <w:t>-</w:t>
      </w:r>
      <w:r w:rsidRPr="00B658F0">
        <w:rPr>
          <w:rStyle w:val="markedcontent"/>
          <w:rFonts w:ascii="Georgia" w:hAnsi="Georgia" w:cs="Arial"/>
        </w:rPr>
        <w:t>efficient new construction. However, since</w:t>
      </w:r>
      <w:r w:rsidR="009A42B5" w:rsidRPr="00B658F0">
        <w:rPr>
          <w:rStyle w:val="markedcontent"/>
          <w:rFonts w:ascii="Georgia" w:hAnsi="Georgia" w:cs="Arial"/>
        </w:rPr>
        <w:t xml:space="preserve"> </w:t>
      </w:r>
      <w:r w:rsidRPr="00B658F0">
        <w:rPr>
          <w:rStyle w:val="markedcontent"/>
          <w:rFonts w:ascii="Georgia" w:hAnsi="Georgia" w:cs="Arial"/>
        </w:rPr>
        <w:t>179D’s initial enactment in 2005, the intent has also been to encourage private</w:t>
      </w:r>
      <w:r w:rsidR="009A42B5" w:rsidRPr="00B658F0">
        <w:rPr>
          <w:rStyle w:val="markedcontent"/>
          <w:rFonts w:ascii="Georgia" w:hAnsi="Georgia" w:cs="Arial"/>
        </w:rPr>
        <w:t>-</w:t>
      </w:r>
      <w:r w:rsidRPr="00B658F0">
        <w:rPr>
          <w:rStyle w:val="markedcontent"/>
          <w:rFonts w:ascii="Georgia" w:hAnsi="Georgia" w:cs="Arial"/>
        </w:rPr>
        <w:t xml:space="preserve">sector and non-profit owners to retrofit existing buildings. In this regard, </w:t>
      </w:r>
      <w:r w:rsidR="009A42B5" w:rsidRPr="00B658F0">
        <w:rPr>
          <w:rStyle w:val="markedcontent"/>
          <w:rFonts w:ascii="Georgia" w:hAnsi="Georgia" w:cs="Arial"/>
        </w:rPr>
        <w:t xml:space="preserve">Sec. </w:t>
      </w:r>
      <w:r w:rsidRPr="00B658F0">
        <w:rPr>
          <w:rStyle w:val="markedcontent"/>
          <w:rFonts w:ascii="Georgia" w:hAnsi="Georgia" w:cs="Arial"/>
        </w:rPr>
        <w:t>179D can be improved. Considering the age of current high</w:t>
      </w:r>
      <w:r w:rsidR="009A42B5" w:rsidRPr="00B658F0">
        <w:rPr>
          <w:rStyle w:val="markedcontent"/>
          <w:rFonts w:ascii="Georgia" w:hAnsi="Georgia" w:cs="Arial"/>
        </w:rPr>
        <w:t>-</w:t>
      </w:r>
      <w:r w:rsidRPr="00B658F0">
        <w:rPr>
          <w:rStyle w:val="markedcontent"/>
          <w:rFonts w:ascii="Georgia" w:hAnsi="Georgia" w:cs="Arial"/>
        </w:rPr>
        <w:t>rise apartment building stock</w:t>
      </w:r>
      <w:r w:rsidR="009A42B5" w:rsidRPr="00B658F0">
        <w:rPr>
          <w:rStyle w:val="markedcontent"/>
          <w:rFonts w:ascii="Georgia" w:hAnsi="Georgia" w:cs="Arial"/>
        </w:rPr>
        <w:t>,</w:t>
      </w:r>
      <w:r w:rsidRPr="00B658F0">
        <w:rPr>
          <w:rStyle w:val="markedcontent"/>
          <w:rFonts w:ascii="Georgia" w:hAnsi="Georgia" w:cs="Arial"/>
        </w:rPr>
        <w:t xml:space="preserve"> Sec.</w:t>
      </w:r>
      <w:r w:rsidR="009A42B5" w:rsidRPr="00B658F0">
        <w:rPr>
          <w:rStyle w:val="markedcontent"/>
          <w:rFonts w:ascii="Georgia" w:hAnsi="Georgia" w:cs="Arial"/>
        </w:rPr>
        <w:t xml:space="preserve"> </w:t>
      </w:r>
      <w:r w:rsidRPr="00B658F0">
        <w:rPr>
          <w:rStyle w:val="markedcontent"/>
          <w:rFonts w:ascii="Georgia" w:hAnsi="Georgia" w:cs="Arial"/>
        </w:rPr>
        <w:t>179D should be strengthened to encourage retrofits and</w:t>
      </w:r>
      <w:r w:rsidR="009A42B5" w:rsidRPr="00B658F0">
        <w:rPr>
          <w:rStyle w:val="markedcontent"/>
          <w:rFonts w:ascii="Georgia" w:hAnsi="Georgia" w:cs="Arial"/>
        </w:rPr>
        <w:t>,</w:t>
      </w:r>
      <w:r w:rsidRPr="00B658F0">
        <w:rPr>
          <w:rStyle w:val="markedcontent"/>
          <w:rFonts w:ascii="Georgia" w:hAnsi="Georgia" w:cs="Arial"/>
        </w:rPr>
        <w:t xml:space="preserve"> thereby</w:t>
      </w:r>
      <w:r w:rsidR="009A42B5" w:rsidRPr="00B658F0">
        <w:rPr>
          <w:rStyle w:val="markedcontent"/>
          <w:rFonts w:ascii="Georgia" w:hAnsi="Georgia" w:cs="Arial"/>
        </w:rPr>
        <w:t>,</w:t>
      </w:r>
      <w:r w:rsidRPr="00B658F0">
        <w:rPr>
          <w:rStyle w:val="markedcontent"/>
          <w:rFonts w:ascii="Georgia" w:hAnsi="Georgia" w:cs="Arial"/>
        </w:rPr>
        <w:t xml:space="preserve"> maximize the incentive’s potential as an engine for sound tax, jobs, energy and environmental policy. Title I of the </w:t>
      </w:r>
      <w:r w:rsidRPr="00B658F0">
        <w:rPr>
          <w:rStyle w:val="markedcontent"/>
          <w:rFonts w:ascii="Georgia" w:hAnsi="Georgia" w:cs="Arial"/>
          <w:b/>
          <w:bCs/>
          <w:i/>
          <w:iCs/>
        </w:rPr>
        <w:t>Energy Efficiency Tax Incentives Act</w:t>
      </w:r>
      <w:r w:rsidRPr="00B658F0">
        <w:rPr>
          <w:rStyle w:val="markedcontent"/>
          <w:rFonts w:ascii="Georgia" w:hAnsi="Georgia" w:cs="Arial"/>
        </w:rPr>
        <w:t xml:space="preserve"> (S. 2189)</w:t>
      </w:r>
      <w:r w:rsidR="009A42B5" w:rsidRPr="00B658F0">
        <w:rPr>
          <w:rStyle w:val="markedcontent"/>
          <w:rFonts w:ascii="Georgia" w:hAnsi="Georgia" w:cs="Arial"/>
        </w:rPr>
        <w:t>,</w:t>
      </w:r>
      <w:r w:rsidRPr="00B658F0">
        <w:rPr>
          <w:rStyle w:val="markedcontent"/>
          <w:rFonts w:ascii="Georgia" w:hAnsi="Georgia" w:cs="Arial"/>
        </w:rPr>
        <w:t xml:space="preserve"> introduced by Senators </w:t>
      </w:r>
      <w:r w:rsidR="009A42B5" w:rsidRPr="00B658F0">
        <w:rPr>
          <w:rStyle w:val="markedcontent"/>
          <w:rFonts w:ascii="Georgia" w:hAnsi="Georgia" w:cs="Arial"/>
        </w:rPr>
        <w:t xml:space="preserve">Ben </w:t>
      </w:r>
      <w:r w:rsidRPr="00B658F0">
        <w:rPr>
          <w:rStyle w:val="markedcontent"/>
          <w:rFonts w:ascii="Georgia" w:hAnsi="Georgia" w:cs="Arial"/>
        </w:rPr>
        <w:t xml:space="preserve">Cardin, </w:t>
      </w:r>
      <w:r w:rsidR="009A42B5" w:rsidRPr="00B658F0">
        <w:rPr>
          <w:rStyle w:val="markedcontent"/>
          <w:rFonts w:ascii="Georgia" w:hAnsi="Georgia" w:cs="Arial"/>
        </w:rPr>
        <w:t xml:space="preserve">Dianne </w:t>
      </w:r>
      <w:r w:rsidRPr="00B658F0">
        <w:rPr>
          <w:rStyle w:val="markedcontent"/>
          <w:rFonts w:ascii="Georgia" w:hAnsi="Georgia" w:cs="Arial"/>
        </w:rPr>
        <w:t xml:space="preserve">Feinstein, and </w:t>
      </w:r>
      <w:r w:rsidR="009A42B5" w:rsidRPr="00B658F0">
        <w:rPr>
          <w:rStyle w:val="markedcontent"/>
          <w:rFonts w:ascii="Georgia" w:hAnsi="Georgia" w:cs="Arial"/>
        </w:rPr>
        <w:t xml:space="preserve">Brian </w:t>
      </w:r>
      <w:r w:rsidRPr="00B658F0">
        <w:rPr>
          <w:rStyle w:val="markedcontent"/>
          <w:rFonts w:ascii="Georgia" w:hAnsi="Georgia" w:cs="Arial"/>
        </w:rPr>
        <w:t>Schatz in the 11</w:t>
      </w:r>
      <w:r w:rsidR="009A42B5" w:rsidRPr="00B658F0">
        <w:rPr>
          <w:rStyle w:val="markedcontent"/>
          <w:rFonts w:ascii="Georgia" w:hAnsi="Georgia" w:cs="Arial"/>
        </w:rPr>
        <w:t>3</w:t>
      </w:r>
      <w:r w:rsidR="009A42B5" w:rsidRPr="00B658F0">
        <w:rPr>
          <w:rStyle w:val="markedcontent"/>
          <w:rFonts w:ascii="Georgia" w:hAnsi="Georgia" w:cs="Arial"/>
          <w:vertAlign w:val="superscript"/>
        </w:rPr>
        <w:t>th</w:t>
      </w:r>
      <w:r w:rsidRPr="00B658F0">
        <w:rPr>
          <w:rStyle w:val="markedcontent"/>
          <w:rFonts w:ascii="Georgia" w:hAnsi="Georgia" w:cs="Arial"/>
        </w:rPr>
        <w:t xml:space="preserve"> Congress</w:t>
      </w:r>
      <w:r w:rsidR="009A42B5" w:rsidRPr="00B658F0">
        <w:rPr>
          <w:rStyle w:val="markedcontent"/>
          <w:rFonts w:ascii="Georgia" w:hAnsi="Georgia" w:cs="Arial"/>
        </w:rPr>
        <w:t>,</w:t>
      </w:r>
      <w:r w:rsidRPr="00B658F0">
        <w:rPr>
          <w:rStyle w:val="markedcontent"/>
          <w:rFonts w:ascii="Georgia" w:hAnsi="Georgia" w:cs="Arial"/>
        </w:rPr>
        <w:t xml:space="preserve"> preserves the deduction’s application for new construction and public buildings, while also meaningfully incentiviz</w:t>
      </w:r>
      <w:r w:rsidR="009A42B5" w:rsidRPr="00B658F0">
        <w:rPr>
          <w:rStyle w:val="markedcontent"/>
          <w:rFonts w:ascii="Georgia" w:hAnsi="Georgia" w:cs="Arial"/>
        </w:rPr>
        <w:t>ing</w:t>
      </w:r>
      <w:r w:rsidRPr="00B658F0">
        <w:rPr>
          <w:rStyle w:val="markedcontent"/>
          <w:rFonts w:ascii="Georgia" w:hAnsi="Georgia" w:cs="Arial"/>
        </w:rPr>
        <w:t xml:space="preserve"> private</w:t>
      </w:r>
      <w:r w:rsidR="009A42B5" w:rsidRPr="00B658F0">
        <w:rPr>
          <w:rStyle w:val="markedcontent"/>
          <w:rFonts w:ascii="Georgia" w:hAnsi="Georgia" w:cs="Arial"/>
        </w:rPr>
        <w:t>-</w:t>
      </w:r>
      <w:r w:rsidRPr="00B658F0">
        <w:rPr>
          <w:rStyle w:val="markedcontent"/>
          <w:rFonts w:ascii="Georgia" w:hAnsi="Georgia" w:cs="Arial"/>
        </w:rPr>
        <w:t>sector and non-profit retrofits.</w:t>
      </w:r>
    </w:p>
    <w:p w14:paraId="3CF482CE" w14:textId="77777777" w:rsidR="009A42B5" w:rsidRPr="00B658F0" w:rsidRDefault="009A42B5" w:rsidP="003D4A6E">
      <w:pPr>
        <w:spacing w:after="0" w:line="240" w:lineRule="exact"/>
        <w:jc w:val="both"/>
        <w:rPr>
          <w:rFonts w:ascii="Georgia" w:hAnsi="Georgia"/>
          <w:b/>
          <w:bCs/>
          <w:i/>
          <w:iCs/>
        </w:rPr>
      </w:pPr>
    </w:p>
    <w:p w14:paraId="3E5861ED" w14:textId="77777777" w:rsidR="00B658F0" w:rsidRDefault="00B658F0" w:rsidP="003D4A6E">
      <w:pPr>
        <w:spacing w:after="0" w:line="240" w:lineRule="exact"/>
        <w:jc w:val="both"/>
        <w:rPr>
          <w:rFonts w:ascii="Georgia" w:hAnsi="Georgia"/>
          <w:b/>
          <w:bCs/>
        </w:rPr>
      </w:pPr>
    </w:p>
    <w:p w14:paraId="3B891B3F" w14:textId="77777777" w:rsidR="00B658F0" w:rsidRDefault="00B658F0" w:rsidP="003D4A6E">
      <w:pPr>
        <w:spacing w:after="0" w:line="240" w:lineRule="exact"/>
        <w:jc w:val="both"/>
        <w:rPr>
          <w:rFonts w:ascii="Georgia" w:hAnsi="Georgia"/>
          <w:b/>
          <w:bCs/>
        </w:rPr>
      </w:pPr>
    </w:p>
    <w:p w14:paraId="5C13D535" w14:textId="560D2B91" w:rsidR="004156BF" w:rsidRPr="00B658F0" w:rsidRDefault="003977B3" w:rsidP="000441BC">
      <w:pPr>
        <w:spacing w:after="0" w:line="240" w:lineRule="exact"/>
        <w:jc w:val="both"/>
        <w:rPr>
          <w:rFonts w:ascii="Georgia" w:hAnsi="Georgia"/>
        </w:rPr>
      </w:pPr>
    </w:p>
    <w:sectPr w:rsidR="004156BF" w:rsidRPr="00B658F0" w:rsidSect="00353E71">
      <w:footerReference w:type="default" r:id="rId13"/>
      <w:headerReference w:type="first" r:id="rId14"/>
      <w:footerReference w:type="first" r:id="rId15"/>
      <w:type w:val="continuous"/>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B536" w14:textId="77777777" w:rsidR="000641BA" w:rsidRDefault="000641BA" w:rsidP="00076305">
      <w:pPr>
        <w:spacing w:after="0" w:line="240" w:lineRule="auto"/>
      </w:pPr>
      <w:r>
        <w:separator/>
      </w:r>
    </w:p>
  </w:endnote>
  <w:endnote w:type="continuationSeparator" w:id="0">
    <w:p w14:paraId="67D2129A" w14:textId="77777777" w:rsidR="000641BA" w:rsidRDefault="000641BA" w:rsidP="0007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800D" w14:textId="19F094DD" w:rsidR="00076305" w:rsidRDefault="00076305">
    <w:pPr>
      <w:pStyle w:val="Footer"/>
    </w:pPr>
    <w:r>
      <w:rPr>
        <w:noProof/>
      </w:rPr>
      <w:drawing>
        <wp:anchor distT="0" distB="0" distL="0" distR="0" simplePos="0" relativeHeight="251661312" behindDoc="1" locked="0" layoutInCell="1" allowOverlap="1" wp14:anchorId="3D8B90F7" wp14:editId="2E4533CA">
          <wp:simplePos x="0" y="0"/>
          <wp:positionH relativeFrom="page">
            <wp:posOffset>914400</wp:posOffset>
          </wp:positionH>
          <wp:positionV relativeFrom="page">
            <wp:posOffset>9430385</wp:posOffset>
          </wp:positionV>
          <wp:extent cx="6137631" cy="13369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37631" cy="133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DC83" w14:textId="0A4F6EA0" w:rsidR="00076305" w:rsidRDefault="00076305">
    <w:pPr>
      <w:pStyle w:val="Footer"/>
    </w:pPr>
    <w:r>
      <w:rPr>
        <w:noProof/>
      </w:rPr>
      <w:drawing>
        <wp:anchor distT="0" distB="0" distL="0" distR="0" simplePos="0" relativeHeight="251659264" behindDoc="1" locked="0" layoutInCell="1" allowOverlap="1" wp14:anchorId="2453AC38" wp14:editId="3902ADBF">
          <wp:simplePos x="0" y="0"/>
          <wp:positionH relativeFrom="page">
            <wp:posOffset>914400</wp:posOffset>
          </wp:positionH>
          <wp:positionV relativeFrom="page">
            <wp:posOffset>9430385</wp:posOffset>
          </wp:positionV>
          <wp:extent cx="6137631" cy="13369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37631" cy="133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F17B" w14:textId="77777777" w:rsidR="000641BA" w:rsidRDefault="000641BA" w:rsidP="00076305">
      <w:pPr>
        <w:spacing w:after="0" w:line="240" w:lineRule="auto"/>
      </w:pPr>
      <w:r>
        <w:separator/>
      </w:r>
    </w:p>
  </w:footnote>
  <w:footnote w:type="continuationSeparator" w:id="0">
    <w:p w14:paraId="07B09E6F" w14:textId="77777777" w:rsidR="000641BA" w:rsidRDefault="000641BA" w:rsidP="00076305">
      <w:pPr>
        <w:spacing w:after="0" w:line="240" w:lineRule="auto"/>
      </w:pPr>
      <w:r>
        <w:continuationSeparator/>
      </w:r>
    </w:p>
  </w:footnote>
  <w:footnote w:id="1">
    <w:p w14:paraId="5AC42BDA" w14:textId="371531DA" w:rsidR="008B677A" w:rsidRDefault="008B677A" w:rsidP="00553CD0">
      <w:pPr>
        <w:spacing w:after="0" w:line="240" w:lineRule="exact"/>
        <w:jc w:val="both"/>
      </w:pPr>
      <w:r>
        <w:rPr>
          <w:rStyle w:val="FootnoteReference"/>
        </w:rPr>
        <w:footnoteRef/>
      </w:r>
      <w:r>
        <w:t xml:space="preserve"> </w:t>
      </w:r>
      <w:r w:rsidRPr="008B677A">
        <w:rPr>
          <w:rFonts w:cstheme="minorHAnsi"/>
          <w:sz w:val="18"/>
          <w:szCs w:val="18"/>
        </w:rPr>
        <w:t>For more than 20 years, the National Multifamily Housing Council (NMHC) and the National Apartment Association (NAA) have partnered in a joint legislative program to provide a single voice for America's apartment industry. Our combined memberships are engaged in all aspects of the apartment industry, including ownership, development, management and finance. NMHC represents the principal officers of the apartment industry’s largest and most prominent firms. As a federation of 14</w:t>
      </w:r>
      <w:r w:rsidR="00B40788">
        <w:rPr>
          <w:rFonts w:cstheme="minorHAnsi"/>
          <w:sz w:val="18"/>
          <w:szCs w:val="18"/>
        </w:rPr>
        <w:t>1</w:t>
      </w:r>
      <w:r w:rsidRPr="008B677A">
        <w:rPr>
          <w:rFonts w:cstheme="minorHAnsi"/>
          <w:sz w:val="18"/>
          <w:szCs w:val="18"/>
        </w:rPr>
        <w:t xml:space="preserve"> state</w:t>
      </w:r>
      <w:r w:rsidR="00B40788">
        <w:rPr>
          <w:rFonts w:cstheme="minorHAnsi"/>
          <w:sz w:val="18"/>
          <w:szCs w:val="18"/>
        </w:rPr>
        <w:t xml:space="preserve">, </w:t>
      </w:r>
      <w:r w:rsidRPr="008B677A">
        <w:rPr>
          <w:rFonts w:cstheme="minorHAnsi"/>
          <w:sz w:val="18"/>
          <w:szCs w:val="18"/>
        </w:rPr>
        <w:t>local</w:t>
      </w:r>
      <w:r w:rsidR="008B0889">
        <w:rPr>
          <w:rFonts w:cstheme="minorHAnsi"/>
          <w:sz w:val="18"/>
          <w:szCs w:val="18"/>
        </w:rPr>
        <w:t>, and global</w:t>
      </w:r>
      <w:r w:rsidRPr="008B677A">
        <w:rPr>
          <w:rFonts w:cstheme="minorHAnsi"/>
          <w:sz w:val="18"/>
          <w:szCs w:val="18"/>
        </w:rPr>
        <w:t xml:space="preserve"> affiliates, NAA encompasses over 9</w:t>
      </w:r>
      <w:r w:rsidR="008B0889">
        <w:rPr>
          <w:rFonts w:cstheme="minorHAnsi"/>
          <w:sz w:val="18"/>
          <w:szCs w:val="18"/>
        </w:rPr>
        <w:t>2</w:t>
      </w:r>
      <w:r w:rsidRPr="008B677A">
        <w:rPr>
          <w:rFonts w:cstheme="minorHAnsi"/>
          <w:sz w:val="18"/>
          <w:szCs w:val="18"/>
        </w:rPr>
        <w:t>,000 members representing more than 1</w:t>
      </w:r>
      <w:r w:rsidR="008B0889">
        <w:rPr>
          <w:rFonts w:cstheme="minorHAnsi"/>
          <w:sz w:val="18"/>
          <w:szCs w:val="18"/>
        </w:rPr>
        <w:t>1</w:t>
      </w:r>
      <w:r w:rsidRPr="008B677A">
        <w:rPr>
          <w:rFonts w:cstheme="minorHAnsi"/>
          <w:sz w:val="18"/>
          <w:szCs w:val="18"/>
        </w:rPr>
        <w:t xml:space="preserve"> million apartment homes globally.</w:t>
      </w:r>
      <w:r w:rsidR="00E344F8">
        <w:rPr>
          <w:rFonts w:cstheme="minorHAnsi"/>
          <w:sz w:val="18"/>
          <w:szCs w:val="18"/>
        </w:rPr>
        <w:t xml:space="preserve"> </w:t>
      </w:r>
      <w:r w:rsidR="00E344F8" w:rsidRPr="00E344F8">
        <w:rPr>
          <w:rFonts w:cstheme="minorHAnsi"/>
          <w:sz w:val="18"/>
          <w:szCs w:val="18"/>
        </w:rPr>
        <w:t>One-third of all Americans rent their housing</w:t>
      </w:r>
      <w:r w:rsidR="00E344F8">
        <w:rPr>
          <w:rFonts w:cstheme="minorHAnsi"/>
          <w:sz w:val="18"/>
          <w:szCs w:val="18"/>
        </w:rPr>
        <w:t>,</w:t>
      </w:r>
      <w:r w:rsidR="00E344F8" w:rsidRPr="00E344F8">
        <w:rPr>
          <w:rFonts w:cstheme="minorHAnsi"/>
          <w:sz w:val="18"/>
          <w:szCs w:val="18"/>
        </w:rPr>
        <w:t xml:space="preserve"> and </w:t>
      </w:r>
      <w:r w:rsidR="003E0A22">
        <w:rPr>
          <w:rFonts w:cstheme="minorHAnsi"/>
          <w:sz w:val="18"/>
          <w:szCs w:val="18"/>
        </w:rPr>
        <w:t>36.8</w:t>
      </w:r>
      <w:r w:rsidR="00E344F8" w:rsidRPr="00E344F8">
        <w:rPr>
          <w:rFonts w:cstheme="minorHAnsi"/>
          <w:sz w:val="18"/>
          <w:szCs w:val="18"/>
        </w:rPr>
        <w:t xml:space="preserve"> million of them live in an apartment home.</w:t>
      </w:r>
    </w:p>
  </w:footnote>
  <w:footnote w:id="2">
    <w:p w14:paraId="3E62A6D6" w14:textId="77777777" w:rsidR="003F3E97" w:rsidRDefault="003F3E97" w:rsidP="00553CD0">
      <w:pPr>
        <w:pStyle w:val="FootnoteText"/>
        <w:jc w:val="both"/>
      </w:pPr>
      <w:r>
        <w:rPr>
          <w:rStyle w:val="FootnoteReference"/>
        </w:rPr>
        <w:footnoteRef/>
      </w:r>
      <w:r>
        <w:t xml:space="preserve"> </w:t>
      </w:r>
      <w:r w:rsidRPr="009B4327">
        <w:rPr>
          <w:sz w:val="18"/>
          <w:szCs w:val="18"/>
        </w:rPr>
        <w:t>NMHC tabulations of 2020 American Community Survey microdata.</w:t>
      </w:r>
    </w:p>
  </w:footnote>
  <w:footnote w:id="3">
    <w:p w14:paraId="7B7C4BBA" w14:textId="12943FBA" w:rsidR="00F92F30" w:rsidRDefault="00F92F30" w:rsidP="00553CD0">
      <w:pPr>
        <w:pStyle w:val="FootnoteText"/>
        <w:jc w:val="both"/>
      </w:pPr>
      <w:r>
        <w:rPr>
          <w:rStyle w:val="FootnoteReference"/>
        </w:rPr>
        <w:footnoteRef/>
      </w:r>
      <w:r>
        <w:t xml:space="preserve"> </w:t>
      </w:r>
      <w:r w:rsidR="00264755" w:rsidRPr="00727B0C">
        <w:rPr>
          <w:rFonts w:cstheme="minorHAnsi"/>
          <w:sz w:val="18"/>
          <w:szCs w:val="18"/>
        </w:rPr>
        <w:t xml:space="preserve">Hoyt Advisory Services, National Apartment Association and National Multifamily Housing Council, “The Contribution of Multifamily Housing to the U.S. Economy”, </w:t>
      </w:r>
      <w:hyperlink r:id="rId1" w:history="1">
        <w:r w:rsidR="00264755" w:rsidRPr="00264755">
          <w:rPr>
            <w:rStyle w:val="Hyperlink"/>
            <w:sz w:val="18"/>
            <w:szCs w:val="18"/>
          </w:rPr>
          <w:t>https://www.weareapartments.org/</w:t>
        </w:r>
      </w:hyperlink>
      <w:r w:rsidR="00264755">
        <w:rPr>
          <w:sz w:val="18"/>
          <w:szCs w:val="18"/>
        </w:rPr>
        <w:t>.</w:t>
      </w:r>
      <w:r w:rsidR="0085609A">
        <w:rPr>
          <w:sz w:val="18"/>
          <w:szCs w:val="18"/>
        </w:rPr>
        <w:t xml:space="preserve"> </w:t>
      </w:r>
    </w:p>
  </w:footnote>
  <w:footnote w:id="4">
    <w:p w14:paraId="03361852" w14:textId="479122AA" w:rsidR="00512563" w:rsidRPr="00512563" w:rsidRDefault="00512563" w:rsidP="00553CD0">
      <w:pPr>
        <w:pStyle w:val="FootnoteText"/>
        <w:jc w:val="both"/>
        <w:rPr>
          <w:rFonts w:cstheme="minorHAnsi"/>
        </w:rPr>
      </w:pPr>
      <w:r>
        <w:rPr>
          <w:rStyle w:val="FootnoteReference"/>
        </w:rPr>
        <w:footnoteRef/>
      </w:r>
      <w:r>
        <w:t xml:space="preserve"> </w:t>
      </w:r>
      <w:r w:rsidRPr="00512563">
        <w:rPr>
          <w:rStyle w:val="normaltextrun"/>
          <w:rFonts w:cstheme="minorHAnsi"/>
          <w:sz w:val="18"/>
          <w:szCs w:val="18"/>
        </w:rPr>
        <w:t>NMHC tabulations of American Housing Survey microdata (1985 – 2019).</w:t>
      </w:r>
    </w:p>
  </w:footnote>
  <w:footnote w:id="5">
    <w:p w14:paraId="6CBEE2E9" w14:textId="594882A8" w:rsidR="000A7488" w:rsidRDefault="000A7488" w:rsidP="00553CD0">
      <w:pPr>
        <w:pStyle w:val="FootnoteText"/>
        <w:jc w:val="both"/>
      </w:pPr>
      <w:r>
        <w:rPr>
          <w:rStyle w:val="FootnoteReference"/>
        </w:rPr>
        <w:footnoteRef/>
      </w:r>
      <w:r>
        <w:t xml:space="preserve"> </w:t>
      </w:r>
      <w:r w:rsidRPr="00707B39">
        <w:rPr>
          <w:sz w:val="18"/>
          <w:szCs w:val="18"/>
        </w:rPr>
        <w:t>Ibid.</w:t>
      </w:r>
    </w:p>
  </w:footnote>
  <w:footnote w:id="6">
    <w:p w14:paraId="32FA36A8" w14:textId="60B292E8" w:rsidR="001A172F" w:rsidRPr="006E0FAD" w:rsidRDefault="00264755" w:rsidP="00553CD0">
      <w:pPr>
        <w:pStyle w:val="FootnoteText"/>
        <w:jc w:val="both"/>
        <w:rPr>
          <w:rFonts w:cstheme="minorHAnsi"/>
          <w:sz w:val="18"/>
          <w:szCs w:val="18"/>
        </w:rPr>
      </w:pPr>
      <w:r>
        <w:rPr>
          <w:rStyle w:val="FootnoteReference"/>
        </w:rPr>
        <w:footnoteRef/>
      </w:r>
      <w:r>
        <w:t xml:space="preserve"> </w:t>
      </w:r>
      <w:r w:rsidRPr="00727B0C">
        <w:rPr>
          <w:rFonts w:cstheme="minorHAnsi"/>
          <w:sz w:val="18"/>
          <w:szCs w:val="18"/>
        </w:rPr>
        <w:t xml:space="preserve">Hoyt Advisory Services, “Estimating the Total U.S. Demand for Rental Housing by 2035.” (2022), </w:t>
      </w:r>
      <w:hyperlink r:id="rId2" w:history="1">
        <w:r w:rsidR="001A172F" w:rsidRPr="00AE7E3B">
          <w:rPr>
            <w:rStyle w:val="Hyperlink"/>
            <w:rFonts w:cstheme="minorHAnsi"/>
            <w:sz w:val="18"/>
            <w:szCs w:val="18"/>
          </w:rPr>
          <w:t>https://www.weareapartments.org/</w:t>
        </w:r>
      </w:hyperlink>
      <w:r w:rsidRPr="00727B0C">
        <w:rPr>
          <w:rFonts w:cstheme="minorHAnsi"/>
          <w:sz w:val="18"/>
          <w:szCs w:val="18"/>
        </w:rPr>
        <w:t>.</w:t>
      </w:r>
    </w:p>
  </w:footnote>
  <w:footnote w:id="7">
    <w:p w14:paraId="18C13DA0" w14:textId="2BBD16FA" w:rsidR="001A172F" w:rsidRPr="006E0FAD" w:rsidRDefault="001A172F" w:rsidP="006E0FAD">
      <w:pPr>
        <w:pStyle w:val="EndnoteText"/>
        <w:jc w:val="both"/>
        <w:rPr>
          <w:rFonts w:cstheme="minorHAnsi"/>
          <w:sz w:val="18"/>
          <w:szCs w:val="18"/>
        </w:rPr>
      </w:pPr>
      <w:r>
        <w:rPr>
          <w:rStyle w:val="FootnoteReference"/>
        </w:rPr>
        <w:footnoteRef/>
      </w:r>
      <w:r>
        <w:t xml:space="preserve"> </w:t>
      </w:r>
      <w:r w:rsidRPr="006E0FAD">
        <w:rPr>
          <w:rFonts w:cstheme="minorHAnsi"/>
          <w:sz w:val="18"/>
          <w:szCs w:val="18"/>
        </w:rPr>
        <w:t xml:space="preserve">Harvard Joint Center for Housing Studies, “America’s Rental Housing” (2020), available at </w:t>
      </w:r>
    </w:p>
    <w:p w14:paraId="542913C8" w14:textId="148169ED" w:rsidR="001A172F" w:rsidRPr="006E0FAD" w:rsidRDefault="003977B3" w:rsidP="006E0FAD">
      <w:pPr>
        <w:pStyle w:val="EndnoteText"/>
        <w:rPr>
          <w:rFonts w:ascii="Georgia" w:hAnsi="Georgia"/>
        </w:rPr>
      </w:pPr>
      <w:hyperlink r:id="rId3" w:history="1">
        <w:r w:rsidR="0013107F" w:rsidRPr="002F0E69">
          <w:rPr>
            <w:rStyle w:val="Hyperlink"/>
            <w:rFonts w:cstheme="minorHAnsi"/>
            <w:sz w:val="18"/>
            <w:szCs w:val="18"/>
          </w:rPr>
          <w:t>https://www.jchs.harvard.edu/sites/default/files/reports/files/Harvard_JCHS_Americas_Rental_Housing_2020.pdf</w:t>
        </w:r>
      </w:hyperlink>
      <w:r w:rsidR="0013107F">
        <w:rPr>
          <w:rFonts w:cstheme="minorHAnsi"/>
          <w:sz w:val="18"/>
          <w:szCs w:val="18"/>
        </w:rPr>
        <w:t xml:space="preserve"> </w:t>
      </w:r>
    </w:p>
  </w:footnote>
  <w:footnote w:id="8">
    <w:p w14:paraId="018F52E5" w14:textId="77777777" w:rsidR="00F91CD4" w:rsidRPr="009B4327" w:rsidRDefault="00F91CD4" w:rsidP="00553CD0">
      <w:pPr>
        <w:pStyle w:val="FootnoteText"/>
        <w:jc w:val="both"/>
        <w:rPr>
          <w:sz w:val="18"/>
          <w:szCs w:val="18"/>
        </w:rPr>
      </w:pPr>
      <w:r w:rsidRPr="009B4327">
        <w:rPr>
          <w:rStyle w:val="FootnoteReference"/>
          <w:sz w:val="18"/>
          <w:szCs w:val="18"/>
        </w:rPr>
        <w:footnoteRef/>
      </w:r>
      <w:r w:rsidRPr="009B4327">
        <w:rPr>
          <w:sz w:val="18"/>
          <w:szCs w:val="18"/>
        </w:rPr>
        <w:t xml:space="preserve"> US Bureau of Labor Statistics, CPI for All Urban Consumers (CPI-U), seasonally adjusted.</w:t>
      </w:r>
    </w:p>
  </w:footnote>
  <w:footnote w:id="9">
    <w:p w14:paraId="1C33D28B" w14:textId="77777777" w:rsidR="00F91CD4" w:rsidRPr="00B91FC0" w:rsidRDefault="00F91CD4" w:rsidP="00553CD0">
      <w:pPr>
        <w:pStyle w:val="FootnoteText"/>
        <w:spacing w:line="259" w:lineRule="auto"/>
        <w:jc w:val="both"/>
        <w:rPr>
          <w:i/>
          <w:iCs/>
        </w:rPr>
      </w:pPr>
      <w:r>
        <w:rPr>
          <w:rStyle w:val="FootnoteReference"/>
        </w:rPr>
        <w:footnoteRef/>
      </w:r>
      <w:r w:rsidRPr="00B91FC0">
        <w:t xml:space="preserve"> </w:t>
      </w:r>
      <w:r w:rsidRPr="00727B0C">
        <w:rPr>
          <w:sz w:val="18"/>
          <w:szCs w:val="18"/>
        </w:rPr>
        <w:t xml:space="preserve">National Association of Home Builders and National Multifamily Housing Council, </w:t>
      </w:r>
      <w:r w:rsidRPr="00727B0C">
        <w:rPr>
          <w:i/>
          <w:iCs/>
          <w:sz w:val="18"/>
          <w:szCs w:val="18"/>
        </w:rPr>
        <w:t xml:space="preserve">Regulation: 40.6 Percent of the Cost of Multifamily Development, </w:t>
      </w:r>
      <w:hyperlink r:id="rId4" w:history="1">
        <w:r w:rsidRPr="00727B0C">
          <w:rPr>
            <w:rStyle w:val="Hyperlink"/>
            <w:i/>
            <w:iCs/>
            <w:sz w:val="18"/>
            <w:szCs w:val="18"/>
          </w:rPr>
          <w:t>https://www.nmhc.org/globalassets/research--insight/research-reports/cost-of-regulations/2022-nahb-nmhc-cost-of-regulations-report.pdf</w:t>
        </w:r>
      </w:hyperlink>
      <w:r w:rsidRPr="00727B0C">
        <w:rPr>
          <w:i/>
          <w:iCs/>
          <w:sz w:val="18"/>
          <w:szCs w:val="18"/>
        </w:rPr>
        <w:t xml:space="preserve"> </w:t>
      </w:r>
    </w:p>
  </w:footnote>
  <w:footnote w:id="10">
    <w:p w14:paraId="18C1454F" w14:textId="7C4A14E6" w:rsidR="001A172F" w:rsidRPr="006E0FAD" w:rsidRDefault="001A172F">
      <w:pPr>
        <w:pStyle w:val="FootnoteText"/>
        <w:rPr>
          <w:lang w:val="es-ES"/>
        </w:rPr>
      </w:pPr>
      <w:r>
        <w:rPr>
          <w:rStyle w:val="FootnoteReference"/>
        </w:rPr>
        <w:footnoteRef/>
      </w:r>
      <w:r w:rsidRPr="006E0FAD">
        <w:rPr>
          <w:lang w:val="es-ES"/>
        </w:rPr>
        <w:t xml:space="preserve"> </w:t>
      </w:r>
      <w:r w:rsidRPr="0036166D">
        <w:rPr>
          <w:sz w:val="18"/>
          <w:szCs w:val="18"/>
          <w:lang w:val="es-ES"/>
        </w:rPr>
        <w:t>Ibid.</w:t>
      </w:r>
    </w:p>
  </w:footnote>
  <w:footnote w:id="11">
    <w:p w14:paraId="73E0DFAC" w14:textId="13044623" w:rsidR="009D320D" w:rsidRPr="006E0FAD" w:rsidRDefault="009D320D" w:rsidP="00553CD0">
      <w:pPr>
        <w:pStyle w:val="FootnoteText"/>
        <w:spacing w:line="259" w:lineRule="auto"/>
        <w:jc w:val="both"/>
        <w:rPr>
          <w:lang w:val="es-ES"/>
        </w:rPr>
      </w:pPr>
      <w:r>
        <w:rPr>
          <w:rStyle w:val="FootnoteReference"/>
        </w:rPr>
        <w:footnoteRef/>
      </w:r>
      <w:r w:rsidR="0036166D">
        <w:rPr>
          <w:sz w:val="18"/>
          <w:szCs w:val="18"/>
          <w:lang w:val="es-ES"/>
        </w:rPr>
        <w:t xml:space="preserve"> </w:t>
      </w:r>
      <w:hyperlink r:id="rId5" w:history="1">
        <w:r w:rsidR="0036166D" w:rsidRPr="002F0E69">
          <w:rPr>
            <w:rStyle w:val="Hyperlink"/>
            <w:sz w:val="18"/>
            <w:szCs w:val="18"/>
            <w:lang w:val="es-ES"/>
          </w:rPr>
          <w:t>https://housingtoolkit.nmhc.org/</w:t>
        </w:r>
      </w:hyperlink>
      <w:r w:rsidR="0085609A" w:rsidRPr="006E0FAD">
        <w:rPr>
          <w:sz w:val="18"/>
          <w:szCs w:val="18"/>
          <w:lang w:val="es-ES"/>
        </w:rPr>
        <w:t xml:space="preserve"> </w:t>
      </w:r>
    </w:p>
  </w:footnote>
  <w:footnote w:id="12">
    <w:p w14:paraId="77CC970D" w14:textId="32D079FC" w:rsidR="00CD62E0" w:rsidRPr="006E0FAD" w:rsidRDefault="00CD62E0" w:rsidP="00553CD0">
      <w:pPr>
        <w:pStyle w:val="FootnoteText"/>
        <w:spacing w:line="259" w:lineRule="auto"/>
        <w:jc w:val="both"/>
        <w:rPr>
          <w:lang w:val="es-ES"/>
        </w:rPr>
      </w:pPr>
      <w:r>
        <w:rPr>
          <w:rStyle w:val="FootnoteReference"/>
        </w:rPr>
        <w:footnoteRef/>
      </w:r>
      <w:r w:rsidR="0036166D">
        <w:rPr>
          <w:sz w:val="18"/>
          <w:szCs w:val="18"/>
          <w:lang w:val="es-ES"/>
        </w:rPr>
        <w:t xml:space="preserve"> </w:t>
      </w:r>
      <w:hyperlink r:id="rId6" w:history="1">
        <w:r w:rsidR="0036166D" w:rsidRPr="002F0E69">
          <w:rPr>
            <w:rStyle w:val="Hyperlink"/>
            <w:sz w:val="18"/>
            <w:szCs w:val="18"/>
            <w:lang w:val="es-ES"/>
          </w:rPr>
          <w:t>https://www.nmhc.org/research-insight/research-notes/2020/which-apartment-residents-are-most-affected-by-job-losses</w:t>
        </w:r>
      </w:hyperlink>
    </w:p>
  </w:footnote>
  <w:footnote w:id="13">
    <w:p w14:paraId="19A57073" w14:textId="4C3331C3" w:rsidR="00A33DAD" w:rsidRPr="00A33DAD" w:rsidRDefault="00A33DAD">
      <w:pPr>
        <w:pStyle w:val="FootnoteText"/>
        <w:rPr>
          <w:lang w:val="es-ES"/>
        </w:rPr>
      </w:pPr>
      <w:r>
        <w:rPr>
          <w:rStyle w:val="FootnoteReference"/>
        </w:rPr>
        <w:footnoteRef/>
      </w:r>
      <w:r w:rsidRPr="00A33DAD">
        <w:rPr>
          <w:lang w:val="es-ES"/>
        </w:rPr>
        <w:t xml:space="preserve"> </w:t>
      </w:r>
      <w:hyperlink r:id="rId7" w:history="1">
        <w:r w:rsidR="00CD2985" w:rsidRPr="002F0E69">
          <w:rPr>
            <w:rStyle w:val="Hyperlink"/>
            <w:sz w:val="18"/>
            <w:szCs w:val="18"/>
            <w:lang w:val="es-ES"/>
          </w:rPr>
          <w:t>https://www.whitehouse.gov/briefing-room/statements-releases/2022/05/16/president-biden-announces-new-actions-to-ease-the-burden-of-housing-costs/</w:t>
        </w:r>
      </w:hyperlink>
      <w:r w:rsidR="00CD2985">
        <w:rPr>
          <w:sz w:val="18"/>
          <w:szCs w:val="18"/>
          <w:lang w:val="es-ES"/>
        </w:rPr>
        <w:t xml:space="preserve"> </w:t>
      </w:r>
    </w:p>
  </w:footnote>
  <w:footnote w:id="14">
    <w:p w14:paraId="107D43F9" w14:textId="755D3F16" w:rsidR="007A45C1" w:rsidRDefault="007A45C1" w:rsidP="00553CD0">
      <w:pPr>
        <w:pStyle w:val="FootnoteText"/>
        <w:spacing w:line="259" w:lineRule="auto"/>
        <w:jc w:val="both"/>
      </w:pPr>
      <w:r>
        <w:rPr>
          <w:rStyle w:val="FootnoteReference"/>
        </w:rPr>
        <w:footnoteRef/>
      </w:r>
      <w:r w:rsidR="00A33480">
        <w:t xml:space="preserve"> </w:t>
      </w:r>
      <w:hyperlink r:id="rId8" w:history="1">
        <w:r w:rsidR="00BF45E9" w:rsidRPr="0036166D">
          <w:rPr>
            <w:rStyle w:val="Hyperlink"/>
            <w:sz w:val="18"/>
            <w:szCs w:val="18"/>
          </w:rPr>
          <w:t>NMHC</w:t>
        </w:r>
      </w:hyperlink>
      <w:r w:rsidR="00BF45E9" w:rsidRPr="0036166D">
        <w:rPr>
          <w:rStyle w:val="Hyperlink"/>
          <w:sz w:val="18"/>
          <w:szCs w:val="18"/>
        </w:rPr>
        <w:t xml:space="preserve"> tabulations of 2020 American Community Survey microdata.</w:t>
      </w:r>
    </w:p>
  </w:footnote>
  <w:footnote w:id="15">
    <w:p w14:paraId="3AFFA924" w14:textId="7C86EDDC" w:rsidR="007344C5" w:rsidRDefault="007344C5" w:rsidP="00553CD0">
      <w:pPr>
        <w:pStyle w:val="FootnoteText"/>
        <w:spacing w:line="259" w:lineRule="auto"/>
        <w:jc w:val="both"/>
      </w:pPr>
      <w:r>
        <w:rPr>
          <w:rStyle w:val="FootnoteReference"/>
        </w:rPr>
        <w:footnoteRef/>
      </w:r>
      <w:r>
        <w:t xml:space="preserve"> </w:t>
      </w:r>
      <w:r w:rsidR="003F3E97" w:rsidRPr="009B4327">
        <w:rPr>
          <w:rFonts w:cstheme="minorHAnsi"/>
          <w:sz w:val="18"/>
          <w:szCs w:val="18"/>
        </w:rPr>
        <w:t xml:space="preserve">Hoyt Advisory Services, “Estimating the Total U.S. Demand for Rental Housing by 2035.” (2022), </w:t>
      </w:r>
      <w:hyperlink r:id="rId9" w:history="1">
        <w:r w:rsidR="00C6347C" w:rsidRPr="002F0E69">
          <w:rPr>
            <w:rStyle w:val="Hyperlink"/>
            <w:rFonts w:cstheme="minorHAnsi"/>
            <w:sz w:val="18"/>
            <w:szCs w:val="18"/>
          </w:rPr>
          <w:t>https://www.weareapartments.org/</w:t>
        </w:r>
      </w:hyperlink>
      <w:r w:rsidR="00C6347C">
        <w:rPr>
          <w:rFonts w:cstheme="minorHAnsi"/>
          <w:sz w:val="18"/>
          <w:szCs w:val="18"/>
        </w:rPr>
        <w:t xml:space="preserve"> </w:t>
      </w:r>
    </w:p>
  </w:footnote>
  <w:footnote w:id="16">
    <w:p w14:paraId="54257C5C" w14:textId="62EA252A" w:rsidR="00F65BD1" w:rsidRDefault="00F65BD1" w:rsidP="00553CD0">
      <w:pPr>
        <w:pStyle w:val="FootnoteText"/>
        <w:spacing w:line="259" w:lineRule="auto"/>
        <w:jc w:val="both"/>
      </w:pPr>
      <w:r>
        <w:rPr>
          <w:rStyle w:val="FootnoteReference"/>
        </w:rPr>
        <w:footnoteRef/>
      </w:r>
      <w:r w:rsidR="0093712A" w:rsidRPr="0036166D">
        <w:rPr>
          <w:sz w:val="18"/>
          <w:szCs w:val="18"/>
        </w:rPr>
        <w:t xml:space="preserve"> </w:t>
      </w:r>
      <w:hyperlink r:id="rId10" w:history="1">
        <w:r w:rsidR="0093712A" w:rsidRPr="0036166D">
          <w:rPr>
            <w:rStyle w:val="Hyperlink"/>
            <w:sz w:val="18"/>
            <w:szCs w:val="18"/>
          </w:rPr>
          <w:t>https://rentalhousingaction.org/wp-content/uploads/2021/10/AHCIA-One-Page-Summary-September-2021.pdf</w:t>
        </w:r>
      </w:hyperlink>
      <w:r w:rsidR="0093712A">
        <w:t xml:space="preserve"> </w:t>
      </w:r>
    </w:p>
  </w:footnote>
  <w:footnote w:id="17">
    <w:p w14:paraId="7A009AEC" w14:textId="041157C1" w:rsidR="00814934" w:rsidRPr="00353BC2" w:rsidRDefault="00814934" w:rsidP="00553CD0">
      <w:pPr>
        <w:pStyle w:val="FootnoteText"/>
        <w:spacing w:line="259" w:lineRule="auto"/>
        <w:jc w:val="both"/>
      </w:pPr>
      <w:r>
        <w:rPr>
          <w:rStyle w:val="FootnoteReference"/>
        </w:rPr>
        <w:footnoteRef/>
      </w:r>
      <w:r>
        <w:t xml:space="preserve"> Joint </w:t>
      </w:r>
      <w:r w:rsidR="00353BC2">
        <w:t xml:space="preserve">Center for Housing Studies of Harvard University, </w:t>
      </w:r>
      <w:r w:rsidR="00353BC2">
        <w:rPr>
          <w:i/>
          <w:iCs/>
        </w:rPr>
        <w:t>America’s Rental Housing 2022</w:t>
      </w:r>
      <w:r w:rsidR="00353BC2">
        <w:t xml:space="preserve">, </w:t>
      </w:r>
      <w:r w:rsidR="00323147">
        <w:t>pg. 28.</w:t>
      </w:r>
      <w:r w:rsidR="000848BF" w:rsidRPr="000848BF">
        <w:t xml:space="preserve"> </w:t>
      </w:r>
      <w:hyperlink r:id="rId11" w:history="1">
        <w:r w:rsidR="000848BF" w:rsidRPr="00937DB7">
          <w:rPr>
            <w:rStyle w:val="Hyperlink"/>
          </w:rPr>
          <w:t>https://www.jchs.harvard.edu/sites/default/files/reports/files/Harvard_JCHS_Americas_Rental_Housing_2022.pdf</w:t>
        </w:r>
      </w:hyperlink>
      <w:r w:rsidR="000848BF">
        <w:t xml:space="preserve"> </w:t>
      </w:r>
    </w:p>
  </w:footnote>
  <w:footnote w:id="18">
    <w:p w14:paraId="13859895" w14:textId="7374EABC" w:rsidR="00644BA3" w:rsidRDefault="00644BA3" w:rsidP="00553CD0">
      <w:pPr>
        <w:pStyle w:val="FootnoteText"/>
        <w:spacing w:line="259" w:lineRule="auto"/>
        <w:jc w:val="both"/>
      </w:pPr>
      <w:r>
        <w:rPr>
          <w:rStyle w:val="FootnoteReference"/>
        </w:rPr>
        <w:footnoteRef/>
      </w:r>
      <w:r>
        <w:t xml:space="preserve"> Joint Center for Housing Studies of Harvard University, </w:t>
      </w:r>
      <w:r>
        <w:rPr>
          <w:i/>
          <w:iCs/>
        </w:rPr>
        <w:t>America’s Rental Housing 2022</w:t>
      </w:r>
      <w:r>
        <w:t>, pg. 32.</w:t>
      </w:r>
      <w:r w:rsidRPr="000848BF">
        <w:t xml:space="preserve"> </w:t>
      </w:r>
      <w:hyperlink r:id="rId12" w:history="1">
        <w:r w:rsidRPr="00937DB7">
          <w:rPr>
            <w:rStyle w:val="Hyperlink"/>
          </w:rPr>
          <w:t>https://www.jchs.harvard.edu/sites/default/files/reports/files/Harvard_JCHS_Americas_Rental_Housing_2022.pdf</w:t>
        </w:r>
      </w:hyperlink>
    </w:p>
  </w:footnote>
  <w:footnote w:id="19">
    <w:p w14:paraId="032DE88E" w14:textId="74D8DF67" w:rsidR="00165A62" w:rsidRDefault="00165A62" w:rsidP="00553CD0">
      <w:pPr>
        <w:pStyle w:val="FootnoteText"/>
        <w:jc w:val="both"/>
      </w:pPr>
      <w:r>
        <w:rPr>
          <w:rStyle w:val="FootnoteReference"/>
        </w:rPr>
        <w:footnoteRef/>
      </w:r>
      <w:r>
        <w:t xml:space="preserve"> </w:t>
      </w:r>
      <w:r w:rsidR="00954B31">
        <w:t xml:space="preserve">NMHC has also done some additional tabulations of 2020 American Community Survey microdata. Looking at the 50 most populous metro areas in the 2020 American Community Survey microdata, just </w:t>
      </w:r>
      <w:r w:rsidR="0076020D">
        <w:t>4.4</w:t>
      </w:r>
      <w:r w:rsidR="00954B31">
        <w:t xml:space="preserve"> percent of apartment units built in 2019 or 2020 were affordable (30 percent of monthly income or less) to apartment households making 60 percent of their metro’s median apartment household income; 7.8</w:t>
      </w:r>
      <w:r w:rsidR="00A73112">
        <w:t xml:space="preserve"> percent</w:t>
      </w:r>
      <w:r w:rsidR="00954B31">
        <w:t xml:space="preserve"> of apartment units built in 2019 or 2020 were affordable to apartment households making 80</w:t>
      </w:r>
      <w:r w:rsidR="00A73112">
        <w:t xml:space="preserve"> percent</w:t>
      </w:r>
      <w:r w:rsidR="00954B31">
        <w:t xml:space="preserve"> of their metro’s median apartment household income; and 16.8</w:t>
      </w:r>
      <w:r w:rsidR="00A73112">
        <w:t xml:space="preserve"> percent</w:t>
      </w:r>
      <w:r w:rsidR="00954B31">
        <w:t xml:space="preserve"> of apartment units built in 2019 or 2020 were affordable to apartment households making 100</w:t>
      </w:r>
      <w:r w:rsidR="00A73112">
        <w:t xml:space="preserve"> percent</w:t>
      </w:r>
      <w:r w:rsidR="00954B31">
        <w:t xml:space="preserve"> of their metro’s median apartment household income</w:t>
      </w:r>
      <w:r w:rsidR="00ED207D">
        <w:t>. For this calculation, NMHC calculated the median apartment household income separately by unit type (e.g., studio, one-bedroom, or two-bedroom) and assumed that households would only consider living in an apartment of a similar unit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9619" w14:textId="44F79737" w:rsidR="00076305" w:rsidRDefault="00076305">
    <w:pPr>
      <w:pStyle w:val="Header"/>
    </w:pPr>
    <w:r>
      <w:rPr>
        <w:noProof/>
      </w:rPr>
      <w:drawing>
        <wp:inline distT="0" distB="0" distL="0" distR="0" wp14:anchorId="6970F2BE" wp14:editId="2D1D5417">
          <wp:extent cx="4336814" cy="562355"/>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
                    <a:extLst>
                      <a:ext uri="{28A0092B-C50C-407E-A947-70E740481C1C}">
                        <a14:useLocalDpi xmlns:a14="http://schemas.microsoft.com/office/drawing/2010/main" val="0"/>
                      </a:ext>
                    </a:extLst>
                  </a:blip>
                  <a:stretch>
                    <a:fillRect/>
                  </a:stretch>
                </pic:blipFill>
                <pic:spPr>
                  <a:xfrm>
                    <a:off x="0" y="0"/>
                    <a:ext cx="4336814" cy="562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B51EA"/>
    <w:multiLevelType w:val="hybridMultilevel"/>
    <w:tmpl w:val="8FD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45BAE"/>
    <w:multiLevelType w:val="hybridMultilevel"/>
    <w:tmpl w:val="F4F89964"/>
    <w:lvl w:ilvl="0" w:tplc="855CC1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2A6484"/>
    <w:multiLevelType w:val="hybridMultilevel"/>
    <w:tmpl w:val="CC74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94903"/>
    <w:multiLevelType w:val="hybridMultilevel"/>
    <w:tmpl w:val="9AFAF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179A4"/>
    <w:multiLevelType w:val="hybridMultilevel"/>
    <w:tmpl w:val="CDC8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E4458"/>
    <w:multiLevelType w:val="hybridMultilevel"/>
    <w:tmpl w:val="371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905B2"/>
    <w:multiLevelType w:val="hybridMultilevel"/>
    <w:tmpl w:val="4D38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675349">
    <w:abstractNumId w:val="0"/>
  </w:num>
  <w:num w:numId="2" w16cid:durableId="1542939460">
    <w:abstractNumId w:val="5"/>
  </w:num>
  <w:num w:numId="3" w16cid:durableId="603726264">
    <w:abstractNumId w:val="2"/>
  </w:num>
  <w:num w:numId="4" w16cid:durableId="1299921280">
    <w:abstractNumId w:val="3"/>
  </w:num>
  <w:num w:numId="5" w16cid:durableId="634532874">
    <w:abstractNumId w:val="6"/>
  </w:num>
  <w:num w:numId="6" w16cid:durableId="874266854">
    <w:abstractNumId w:val="4"/>
  </w:num>
  <w:num w:numId="7" w16cid:durableId="34283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05"/>
    <w:rsid w:val="0000187A"/>
    <w:rsid w:val="00001E3D"/>
    <w:rsid w:val="00003BBB"/>
    <w:rsid w:val="000064A2"/>
    <w:rsid w:val="000124A6"/>
    <w:rsid w:val="00025663"/>
    <w:rsid w:val="000441BC"/>
    <w:rsid w:val="00045641"/>
    <w:rsid w:val="000559A3"/>
    <w:rsid w:val="0005668E"/>
    <w:rsid w:val="000606D4"/>
    <w:rsid w:val="00061D87"/>
    <w:rsid w:val="000641BA"/>
    <w:rsid w:val="00064DBE"/>
    <w:rsid w:val="00076305"/>
    <w:rsid w:val="000848BF"/>
    <w:rsid w:val="00097A5C"/>
    <w:rsid w:val="000A7488"/>
    <w:rsid w:val="000C1774"/>
    <w:rsid w:val="000C4CFA"/>
    <w:rsid w:val="000D236B"/>
    <w:rsid w:val="000E395B"/>
    <w:rsid w:val="000F7F25"/>
    <w:rsid w:val="00100EB0"/>
    <w:rsid w:val="00104FFF"/>
    <w:rsid w:val="00106634"/>
    <w:rsid w:val="00112865"/>
    <w:rsid w:val="00126F59"/>
    <w:rsid w:val="0013107F"/>
    <w:rsid w:val="00135BC2"/>
    <w:rsid w:val="00136422"/>
    <w:rsid w:val="00165A62"/>
    <w:rsid w:val="00166048"/>
    <w:rsid w:val="0017019F"/>
    <w:rsid w:val="001748CC"/>
    <w:rsid w:val="00195E65"/>
    <w:rsid w:val="001A172F"/>
    <w:rsid w:val="001A427A"/>
    <w:rsid w:val="001A505B"/>
    <w:rsid w:val="001A5415"/>
    <w:rsid w:val="001A5C27"/>
    <w:rsid w:val="001A611B"/>
    <w:rsid w:val="001C3983"/>
    <w:rsid w:val="001C3C6C"/>
    <w:rsid w:val="001D0CE3"/>
    <w:rsid w:val="001D4799"/>
    <w:rsid w:val="001D5E48"/>
    <w:rsid w:val="001D5E56"/>
    <w:rsid w:val="001D7DC2"/>
    <w:rsid w:val="001E0302"/>
    <w:rsid w:val="001E168F"/>
    <w:rsid w:val="001F32F7"/>
    <w:rsid w:val="001F4881"/>
    <w:rsid w:val="001F6038"/>
    <w:rsid w:val="00210BA0"/>
    <w:rsid w:val="00214FFF"/>
    <w:rsid w:val="00224395"/>
    <w:rsid w:val="0023578C"/>
    <w:rsid w:val="00235CE6"/>
    <w:rsid w:val="00243E37"/>
    <w:rsid w:val="0026464B"/>
    <w:rsid w:val="00264755"/>
    <w:rsid w:val="002671BA"/>
    <w:rsid w:val="0027025F"/>
    <w:rsid w:val="0027202B"/>
    <w:rsid w:val="00273416"/>
    <w:rsid w:val="00275B81"/>
    <w:rsid w:val="00276002"/>
    <w:rsid w:val="0028632B"/>
    <w:rsid w:val="00291936"/>
    <w:rsid w:val="002A0DE8"/>
    <w:rsid w:val="002A3B93"/>
    <w:rsid w:val="002B07BC"/>
    <w:rsid w:val="002B1E5C"/>
    <w:rsid w:val="002B7BD5"/>
    <w:rsid w:val="002C7E51"/>
    <w:rsid w:val="002D098A"/>
    <w:rsid w:val="002D6918"/>
    <w:rsid w:val="002D6E8E"/>
    <w:rsid w:val="002E6128"/>
    <w:rsid w:val="002F4905"/>
    <w:rsid w:val="00302CC8"/>
    <w:rsid w:val="0031408C"/>
    <w:rsid w:val="00323147"/>
    <w:rsid w:val="003320B7"/>
    <w:rsid w:val="00336529"/>
    <w:rsid w:val="00337184"/>
    <w:rsid w:val="00340019"/>
    <w:rsid w:val="0034498E"/>
    <w:rsid w:val="00344FE8"/>
    <w:rsid w:val="00351900"/>
    <w:rsid w:val="00353BC2"/>
    <w:rsid w:val="00353E71"/>
    <w:rsid w:val="00354656"/>
    <w:rsid w:val="00354B3A"/>
    <w:rsid w:val="003556D9"/>
    <w:rsid w:val="0036166D"/>
    <w:rsid w:val="00362417"/>
    <w:rsid w:val="00376058"/>
    <w:rsid w:val="00383CF2"/>
    <w:rsid w:val="00391637"/>
    <w:rsid w:val="00392802"/>
    <w:rsid w:val="003977B3"/>
    <w:rsid w:val="003A6805"/>
    <w:rsid w:val="003B30FA"/>
    <w:rsid w:val="003B319D"/>
    <w:rsid w:val="003B3DEA"/>
    <w:rsid w:val="003D4A6E"/>
    <w:rsid w:val="003D4A73"/>
    <w:rsid w:val="003E0A22"/>
    <w:rsid w:val="003E4B22"/>
    <w:rsid w:val="003E630B"/>
    <w:rsid w:val="003F229F"/>
    <w:rsid w:val="003F3E97"/>
    <w:rsid w:val="00407F50"/>
    <w:rsid w:val="00413FD7"/>
    <w:rsid w:val="00430A16"/>
    <w:rsid w:val="004367AF"/>
    <w:rsid w:val="00441400"/>
    <w:rsid w:val="00443F79"/>
    <w:rsid w:val="00452027"/>
    <w:rsid w:val="004727F7"/>
    <w:rsid w:val="004A0A0B"/>
    <w:rsid w:val="004A1E97"/>
    <w:rsid w:val="004A41DA"/>
    <w:rsid w:val="004A421E"/>
    <w:rsid w:val="004C368C"/>
    <w:rsid w:val="004C7ADF"/>
    <w:rsid w:val="004D0771"/>
    <w:rsid w:val="004D3C0E"/>
    <w:rsid w:val="004D5849"/>
    <w:rsid w:val="004E6DC2"/>
    <w:rsid w:val="004F14CA"/>
    <w:rsid w:val="004F395B"/>
    <w:rsid w:val="004F3FD9"/>
    <w:rsid w:val="004F7EC1"/>
    <w:rsid w:val="00511843"/>
    <w:rsid w:val="00511977"/>
    <w:rsid w:val="00512563"/>
    <w:rsid w:val="00553CD0"/>
    <w:rsid w:val="00560684"/>
    <w:rsid w:val="00575281"/>
    <w:rsid w:val="00594FCE"/>
    <w:rsid w:val="005A03AA"/>
    <w:rsid w:val="005A137E"/>
    <w:rsid w:val="005A3D21"/>
    <w:rsid w:val="005A41B7"/>
    <w:rsid w:val="005A5C06"/>
    <w:rsid w:val="005B25E2"/>
    <w:rsid w:val="005B38C8"/>
    <w:rsid w:val="005C5EE8"/>
    <w:rsid w:val="005D126F"/>
    <w:rsid w:val="005D223E"/>
    <w:rsid w:val="005D2D0F"/>
    <w:rsid w:val="005D30AC"/>
    <w:rsid w:val="005E367E"/>
    <w:rsid w:val="005F1027"/>
    <w:rsid w:val="00607814"/>
    <w:rsid w:val="00615D04"/>
    <w:rsid w:val="0064175B"/>
    <w:rsid w:val="00644BA3"/>
    <w:rsid w:val="006465AC"/>
    <w:rsid w:val="00682298"/>
    <w:rsid w:val="00690682"/>
    <w:rsid w:val="006A0417"/>
    <w:rsid w:val="006C304D"/>
    <w:rsid w:val="006D5562"/>
    <w:rsid w:val="006E0FAD"/>
    <w:rsid w:val="006E1091"/>
    <w:rsid w:val="006E1822"/>
    <w:rsid w:val="006E3715"/>
    <w:rsid w:val="006E3C9C"/>
    <w:rsid w:val="006F31D2"/>
    <w:rsid w:val="006F4C7A"/>
    <w:rsid w:val="006F68FA"/>
    <w:rsid w:val="00702C1E"/>
    <w:rsid w:val="007036DA"/>
    <w:rsid w:val="00707B39"/>
    <w:rsid w:val="00725CEF"/>
    <w:rsid w:val="007274ED"/>
    <w:rsid w:val="00727B0C"/>
    <w:rsid w:val="007344C5"/>
    <w:rsid w:val="007353C3"/>
    <w:rsid w:val="007411B5"/>
    <w:rsid w:val="0076020D"/>
    <w:rsid w:val="00761AF2"/>
    <w:rsid w:val="00791BF6"/>
    <w:rsid w:val="007A156B"/>
    <w:rsid w:val="007A2F9A"/>
    <w:rsid w:val="007A45C1"/>
    <w:rsid w:val="007A5F5B"/>
    <w:rsid w:val="007A7C96"/>
    <w:rsid w:val="007B0852"/>
    <w:rsid w:val="007B2024"/>
    <w:rsid w:val="007B28EF"/>
    <w:rsid w:val="007B428D"/>
    <w:rsid w:val="007B505D"/>
    <w:rsid w:val="007B5768"/>
    <w:rsid w:val="007B5D82"/>
    <w:rsid w:val="007C4DA1"/>
    <w:rsid w:val="007D25BB"/>
    <w:rsid w:val="007D3388"/>
    <w:rsid w:val="007E01D4"/>
    <w:rsid w:val="007F7A89"/>
    <w:rsid w:val="0080756C"/>
    <w:rsid w:val="00812957"/>
    <w:rsid w:val="00814934"/>
    <w:rsid w:val="00820A97"/>
    <w:rsid w:val="00831126"/>
    <w:rsid w:val="00842752"/>
    <w:rsid w:val="00845531"/>
    <w:rsid w:val="008477E3"/>
    <w:rsid w:val="00854936"/>
    <w:rsid w:val="00854E58"/>
    <w:rsid w:val="0085609A"/>
    <w:rsid w:val="00857DE7"/>
    <w:rsid w:val="00863FB6"/>
    <w:rsid w:val="0086425B"/>
    <w:rsid w:val="008663C4"/>
    <w:rsid w:val="00870EDD"/>
    <w:rsid w:val="00875BC9"/>
    <w:rsid w:val="00883DA5"/>
    <w:rsid w:val="00896BF4"/>
    <w:rsid w:val="008A2E8E"/>
    <w:rsid w:val="008B00BB"/>
    <w:rsid w:val="008B0889"/>
    <w:rsid w:val="008B677A"/>
    <w:rsid w:val="008B767F"/>
    <w:rsid w:val="008E65F5"/>
    <w:rsid w:val="008F32FB"/>
    <w:rsid w:val="00933F5F"/>
    <w:rsid w:val="00934B11"/>
    <w:rsid w:val="0093639D"/>
    <w:rsid w:val="0093712A"/>
    <w:rsid w:val="00944F84"/>
    <w:rsid w:val="00951493"/>
    <w:rsid w:val="00954B31"/>
    <w:rsid w:val="00983949"/>
    <w:rsid w:val="00984796"/>
    <w:rsid w:val="00985054"/>
    <w:rsid w:val="0099129D"/>
    <w:rsid w:val="009954BC"/>
    <w:rsid w:val="009A15D7"/>
    <w:rsid w:val="009A1D56"/>
    <w:rsid w:val="009A42B5"/>
    <w:rsid w:val="009A7447"/>
    <w:rsid w:val="009C323F"/>
    <w:rsid w:val="009D320D"/>
    <w:rsid w:val="009F3137"/>
    <w:rsid w:val="00A02E4E"/>
    <w:rsid w:val="00A10B79"/>
    <w:rsid w:val="00A2709A"/>
    <w:rsid w:val="00A33480"/>
    <w:rsid w:val="00A33DAD"/>
    <w:rsid w:val="00A350D5"/>
    <w:rsid w:val="00A371F2"/>
    <w:rsid w:val="00A46C95"/>
    <w:rsid w:val="00A477A1"/>
    <w:rsid w:val="00A621B2"/>
    <w:rsid w:val="00A626A1"/>
    <w:rsid w:val="00A6661F"/>
    <w:rsid w:val="00A73112"/>
    <w:rsid w:val="00A76932"/>
    <w:rsid w:val="00A85269"/>
    <w:rsid w:val="00A86774"/>
    <w:rsid w:val="00A942FA"/>
    <w:rsid w:val="00A961B7"/>
    <w:rsid w:val="00AA080B"/>
    <w:rsid w:val="00AA1FBF"/>
    <w:rsid w:val="00AC6645"/>
    <w:rsid w:val="00AD0E1C"/>
    <w:rsid w:val="00AD3317"/>
    <w:rsid w:val="00AD695F"/>
    <w:rsid w:val="00AE1CC3"/>
    <w:rsid w:val="00B255B1"/>
    <w:rsid w:val="00B37217"/>
    <w:rsid w:val="00B40788"/>
    <w:rsid w:val="00B441DD"/>
    <w:rsid w:val="00B57ECA"/>
    <w:rsid w:val="00B63097"/>
    <w:rsid w:val="00B658F0"/>
    <w:rsid w:val="00B72B66"/>
    <w:rsid w:val="00B733ED"/>
    <w:rsid w:val="00B76D10"/>
    <w:rsid w:val="00B77D41"/>
    <w:rsid w:val="00B83F1B"/>
    <w:rsid w:val="00B91FC0"/>
    <w:rsid w:val="00B93047"/>
    <w:rsid w:val="00BA49E6"/>
    <w:rsid w:val="00BE15E2"/>
    <w:rsid w:val="00BE196D"/>
    <w:rsid w:val="00BE39C7"/>
    <w:rsid w:val="00BF2335"/>
    <w:rsid w:val="00BF45E9"/>
    <w:rsid w:val="00C12526"/>
    <w:rsid w:val="00C16BDA"/>
    <w:rsid w:val="00C3272B"/>
    <w:rsid w:val="00C40835"/>
    <w:rsid w:val="00C41EF6"/>
    <w:rsid w:val="00C6347C"/>
    <w:rsid w:val="00C72F84"/>
    <w:rsid w:val="00C84CBC"/>
    <w:rsid w:val="00CA27FB"/>
    <w:rsid w:val="00CB525A"/>
    <w:rsid w:val="00CB63D7"/>
    <w:rsid w:val="00CD2985"/>
    <w:rsid w:val="00CD5A41"/>
    <w:rsid w:val="00CD62E0"/>
    <w:rsid w:val="00CE4028"/>
    <w:rsid w:val="00CE4675"/>
    <w:rsid w:val="00CE585D"/>
    <w:rsid w:val="00D00D94"/>
    <w:rsid w:val="00D236DC"/>
    <w:rsid w:val="00D23AE4"/>
    <w:rsid w:val="00D263BC"/>
    <w:rsid w:val="00D26DEE"/>
    <w:rsid w:val="00D30B64"/>
    <w:rsid w:val="00D351EA"/>
    <w:rsid w:val="00D60126"/>
    <w:rsid w:val="00D610FB"/>
    <w:rsid w:val="00D72F68"/>
    <w:rsid w:val="00D735C7"/>
    <w:rsid w:val="00D86FB2"/>
    <w:rsid w:val="00D9571D"/>
    <w:rsid w:val="00D96CF1"/>
    <w:rsid w:val="00DA0012"/>
    <w:rsid w:val="00DB19B7"/>
    <w:rsid w:val="00DB2B26"/>
    <w:rsid w:val="00DB301D"/>
    <w:rsid w:val="00DB3B82"/>
    <w:rsid w:val="00DB7551"/>
    <w:rsid w:val="00DC2BC6"/>
    <w:rsid w:val="00DC5B04"/>
    <w:rsid w:val="00DC7BA1"/>
    <w:rsid w:val="00DE13F6"/>
    <w:rsid w:val="00DF3B14"/>
    <w:rsid w:val="00E001AF"/>
    <w:rsid w:val="00E03D0D"/>
    <w:rsid w:val="00E100F1"/>
    <w:rsid w:val="00E15BEA"/>
    <w:rsid w:val="00E23BD2"/>
    <w:rsid w:val="00E26B8D"/>
    <w:rsid w:val="00E27758"/>
    <w:rsid w:val="00E344F8"/>
    <w:rsid w:val="00E41028"/>
    <w:rsid w:val="00E523D6"/>
    <w:rsid w:val="00E52513"/>
    <w:rsid w:val="00E55CAC"/>
    <w:rsid w:val="00E5649D"/>
    <w:rsid w:val="00E720BA"/>
    <w:rsid w:val="00E72BA0"/>
    <w:rsid w:val="00E74479"/>
    <w:rsid w:val="00E80A79"/>
    <w:rsid w:val="00E85B15"/>
    <w:rsid w:val="00E95027"/>
    <w:rsid w:val="00EA089C"/>
    <w:rsid w:val="00EA298F"/>
    <w:rsid w:val="00EB24A1"/>
    <w:rsid w:val="00EC0785"/>
    <w:rsid w:val="00EC5BAA"/>
    <w:rsid w:val="00EC7FE3"/>
    <w:rsid w:val="00ED207D"/>
    <w:rsid w:val="00ED250D"/>
    <w:rsid w:val="00ED2884"/>
    <w:rsid w:val="00ED4E8D"/>
    <w:rsid w:val="00EE23C5"/>
    <w:rsid w:val="00EF39C8"/>
    <w:rsid w:val="00F1570B"/>
    <w:rsid w:val="00F178D4"/>
    <w:rsid w:val="00F261A9"/>
    <w:rsid w:val="00F34114"/>
    <w:rsid w:val="00F3466C"/>
    <w:rsid w:val="00F40716"/>
    <w:rsid w:val="00F64CDF"/>
    <w:rsid w:val="00F65BD1"/>
    <w:rsid w:val="00F81D90"/>
    <w:rsid w:val="00F83EDA"/>
    <w:rsid w:val="00F847A6"/>
    <w:rsid w:val="00F91CD4"/>
    <w:rsid w:val="00F92F30"/>
    <w:rsid w:val="00F964D8"/>
    <w:rsid w:val="00FA2F21"/>
    <w:rsid w:val="00FA4403"/>
    <w:rsid w:val="00FA47EF"/>
    <w:rsid w:val="00FB5F4D"/>
    <w:rsid w:val="00FC7E24"/>
    <w:rsid w:val="00FD21D2"/>
    <w:rsid w:val="00FD5377"/>
    <w:rsid w:val="00FE5599"/>
    <w:rsid w:val="00F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41287"/>
  <w15:chartTrackingRefBased/>
  <w15:docId w15:val="{0F8B0326-C7FE-41D0-8C8A-7CAB6C49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05"/>
  </w:style>
  <w:style w:type="paragraph" w:styleId="Footer">
    <w:name w:val="footer"/>
    <w:basedOn w:val="Normal"/>
    <w:link w:val="FooterChar"/>
    <w:uiPriority w:val="99"/>
    <w:unhideWhenUsed/>
    <w:rsid w:val="00076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05"/>
  </w:style>
  <w:style w:type="paragraph" w:styleId="ListParagraph">
    <w:name w:val="List Paragraph"/>
    <w:basedOn w:val="Normal"/>
    <w:uiPriority w:val="34"/>
    <w:qFormat/>
    <w:rsid w:val="005A3D21"/>
    <w:pPr>
      <w:ind w:left="720"/>
      <w:contextualSpacing/>
    </w:pPr>
  </w:style>
  <w:style w:type="paragraph" w:styleId="FootnoteText">
    <w:name w:val="footnote text"/>
    <w:basedOn w:val="Normal"/>
    <w:link w:val="FootnoteTextChar"/>
    <w:uiPriority w:val="99"/>
    <w:semiHidden/>
    <w:unhideWhenUsed/>
    <w:rsid w:val="00690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682"/>
    <w:rPr>
      <w:sz w:val="20"/>
      <w:szCs w:val="20"/>
    </w:rPr>
  </w:style>
  <w:style w:type="character" w:styleId="FootnoteReference">
    <w:name w:val="footnote reference"/>
    <w:basedOn w:val="DefaultParagraphFont"/>
    <w:uiPriority w:val="99"/>
    <w:semiHidden/>
    <w:unhideWhenUsed/>
    <w:rsid w:val="00690682"/>
    <w:rPr>
      <w:vertAlign w:val="superscript"/>
    </w:rPr>
  </w:style>
  <w:style w:type="paragraph" w:styleId="CommentText">
    <w:name w:val="annotation text"/>
    <w:basedOn w:val="Normal"/>
    <w:link w:val="CommentTextChar"/>
    <w:uiPriority w:val="99"/>
    <w:unhideWhenUsed/>
    <w:rsid w:val="00615D04"/>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rsid w:val="00615D04"/>
    <w:rPr>
      <w:rFonts w:ascii="Georgia" w:eastAsia="Georgia" w:hAnsi="Georgia" w:cs="Georgia"/>
      <w:sz w:val="20"/>
      <w:szCs w:val="20"/>
    </w:rPr>
  </w:style>
  <w:style w:type="character" w:styleId="CommentReference">
    <w:name w:val="annotation reference"/>
    <w:basedOn w:val="DefaultParagraphFont"/>
    <w:uiPriority w:val="99"/>
    <w:semiHidden/>
    <w:unhideWhenUsed/>
    <w:rsid w:val="00831126"/>
    <w:rPr>
      <w:sz w:val="16"/>
      <w:szCs w:val="16"/>
    </w:rPr>
  </w:style>
  <w:style w:type="paragraph" w:styleId="CommentSubject">
    <w:name w:val="annotation subject"/>
    <w:basedOn w:val="CommentText"/>
    <w:next w:val="CommentText"/>
    <w:link w:val="CommentSubjectChar"/>
    <w:uiPriority w:val="99"/>
    <w:semiHidden/>
    <w:unhideWhenUsed/>
    <w:rsid w:val="00831126"/>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1126"/>
    <w:rPr>
      <w:rFonts w:ascii="Georgia" w:eastAsia="Georgia" w:hAnsi="Georgia" w:cs="Georgia"/>
      <w:b/>
      <w:bCs/>
      <w:sz w:val="20"/>
      <w:szCs w:val="20"/>
    </w:rPr>
  </w:style>
  <w:style w:type="character" w:styleId="Hyperlink">
    <w:name w:val="Hyperlink"/>
    <w:basedOn w:val="DefaultParagraphFont"/>
    <w:uiPriority w:val="99"/>
    <w:unhideWhenUsed/>
    <w:rsid w:val="006E1822"/>
    <w:rPr>
      <w:color w:val="0563C1" w:themeColor="hyperlink"/>
      <w:u w:val="single"/>
    </w:rPr>
  </w:style>
  <w:style w:type="character" w:styleId="UnresolvedMention">
    <w:name w:val="Unresolved Mention"/>
    <w:basedOn w:val="DefaultParagraphFont"/>
    <w:uiPriority w:val="99"/>
    <w:semiHidden/>
    <w:unhideWhenUsed/>
    <w:rsid w:val="00F65BD1"/>
    <w:rPr>
      <w:color w:val="605E5C"/>
      <w:shd w:val="clear" w:color="auto" w:fill="E1DFDD"/>
    </w:rPr>
  </w:style>
  <w:style w:type="character" w:customStyle="1" w:styleId="markedcontent">
    <w:name w:val="markedcontent"/>
    <w:basedOn w:val="DefaultParagraphFont"/>
    <w:rsid w:val="002E6128"/>
  </w:style>
  <w:style w:type="paragraph" w:styleId="NormalWeb">
    <w:name w:val="Normal (Web)"/>
    <w:basedOn w:val="Normal"/>
    <w:uiPriority w:val="99"/>
    <w:unhideWhenUsed/>
    <w:rsid w:val="006E3C9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B441DD"/>
    <w:pPr>
      <w:spacing w:after="0" w:line="240" w:lineRule="auto"/>
    </w:pPr>
    <w:rPr>
      <w:sz w:val="20"/>
      <w:szCs w:val="20"/>
    </w:rPr>
  </w:style>
  <w:style w:type="character" w:customStyle="1" w:styleId="EndnoteTextChar">
    <w:name w:val="Endnote Text Char"/>
    <w:basedOn w:val="DefaultParagraphFont"/>
    <w:link w:val="EndnoteText"/>
    <w:rsid w:val="00B441DD"/>
    <w:rPr>
      <w:sz w:val="20"/>
      <w:szCs w:val="20"/>
    </w:rPr>
  </w:style>
  <w:style w:type="character" w:styleId="EndnoteReference">
    <w:name w:val="endnote reference"/>
    <w:basedOn w:val="DefaultParagraphFont"/>
    <w:uiPriority w:val="99"/>
    <w:semiHidden/>
    <w:unhideWhenUsed/>
    <w:rsid w:val="00B441DD"/>
    <w:rPr>
      <w:vertAlign w:val="superscript"/>
    </w:rPr>
  </w:style>
  <w:style w:type="character" w:styleId="FollowedHyperlink">
    <w:name w:val="FollowedHyperlink"/>
    <w:basedOn w:val="DefaultParagraphFont"/>
    <w:uiPriority w:val="99"/>
    <w:semiHidden/>
    <w:unhideWhenUsed/>
    <w:rsid w:val="002671BA"/>
    <w:rPr>
      <w:color w:val="954F72" w:themeColor="followedHyperlink"/>
      <w:u w:val="single"/>
    </w:rPr>
  </w:style>
  <w:style w:type="character" w:customStyle="1" w:styleId="normaltextrun">
    <w:name w:val="normaltextrun"/>
    <w:basedOn w:val="DefaultParagraphFont"/>
    <w:rsid w:val="00FC7E24"/>
  </w:style>
  <w:style w:type="character" w:customStyle="1" w:styleId="superscript">
    <w:name w:val="superscript"/>
    <w:basedOn w:val="DefaultParagraphFont"/>
    <w:rsid w:val="00FC7E24"/>
  </w:style>
  <w:style w:type="paragraph" w:styleId="Revision">
    <w:name w:val="Revision"/>
    <w:hidden/>
    <w:uiPriority w:val="99"/>
    <w:semiHidden/>
    <w:rsid w:val="00F91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237">
      <w:bodyDiv w:val="1"/>
      <w:marLeft w:val="0"/>
      <w:marRight w:val="0"/>
      <w:marTop w:val="0"/>
      <w:marBottom w:val="0"/>
      <w:divBdr>
        <w:top w:val="none" w:sz="0" w:space="0" w:color="auto"/>
        <w:left w:val="none" w:sz="0" w:space="0" w:color="auto"/>
        <w:bottom w:val="none" w:sz="0" w:space="0" w:color="auto"/>
        <w:right w:val="none" w:sz="0" w:space="0" w:color="auto"/>
      </w:divBdr>
      <w:divsChild>
        <w:div w:id="1786077101">
          <w:marLeft w:val="0"/>
          <w:marRight w:val="0"/>
          <w:marTop w:val="0"/>
          <w:marBottom w:val="0"/>
          <w:divBdr>
            <w:top w:val="none" w:sz="0" w:space="0" w:color="auto"/>
            <w:left w:val="none" w:sz="0" w:space="0" w:color="auto"/>
            <w:bottom w:val="none" w:sz="0" w:space="0" w:color="auto"/>
            <w:right w:val="none" w:sz="0" w:space="0" w:color="auto"/>
          </w:divBdr>
          <w:divsChild>
            <w:div w:id="1113286963">
              <w:marLeft w:val="0"/>
              <w:marRight w:val="0"/>
              <w:marTop w:val="0"/>
              <w:marBottom w:val="0"/>
              <w:divBdr>
                <w:top w:val="none" w:sz="0" w:space="0" w:color="auto"/>
                <w:left w:val="none" w:sz="0" w:space="0" w:color="auto"/>
                <w:bottom w:val="none" w:sz="0" w:space="0" w:color="auto"/>
                <w:right w:val="none" w:sz="0" w:space="0" w:color="auto"/>
              </w:divBdr>
              <w:divsChild>
                <w:div w:id="212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0045">
      <w:bodyDiv w:val="1"/>
      <w:marLeft w:val="0"/>
      <w:marRight w:val="0"/>
      <w:marTop w:val="0"/>
      <w:marBottom w:val="0"/>
      <w:divBdr>
        <w:top w:val="none" w:sz="0" w:space="0" w:color="auto"/>
        <w:left w:val="none" w:sz="0" w:space="0" w:color="auto"/>
        <w:bottom w:val="none" w:sz="0" w:space="0" w:color="auto"/>
        <w:right w:val="none" w:sz="0" w:space="0" w:color="auto"/>
      </w:divBdr>
    </w:div>
    <w:div w:id="333799752">
      <w:bodyDiv w:val="1"/>
      <w:marLeft w:val="0"/>
      <w:marRight w:val="0"/>
      <w:marTop w:val="0"/>
      <w:marBottom w:val="0"/>
      <w:divBdr>
        <w:top w:val="none" w:sz="0" w:space="0" w:color="auto"/>
        <w:left w:val="none" w:sz="0" w:space="0" w:color="auto"/>
        <w:bottom w:val="none" w:sz="0" w:space="0" w:color="auto"/>
        <w:right w:val="none" w:sz="0" w:space="0" w:color="auto"/>
      </w:divBdr>
    </w:div>
    <w:div w:id="419912059">
      <w:bodyDiv w:val="1"/>
      <w:marLeft w:val="0"/>
      <w:marRight w:val="0"/>
      <w:marTop w:val="0"/>
      <w:marBottom w:val="0"/>
      <w:divBdr>
        <w:top w:val="none" w:sz="0" w:space="0" w:color="auto"/>
        <w:left w:val="none" w:sz="0" w:space="0" w:color="auto"/>
        <w:bottom w:val="none" w:sz="0" w:space="0" w:color="auto"/>
        <w:right w:val="none" w:sz="0" w:space="0" w:color="auto"/>
      </w:divBdr>
    </w:div>
    <w:div w:id="536747324">
      <w:bodyDiv w:val="1"/>
      <w:marLeft w:val="0"/>
      <w:marRight w:val="0"/>
      <w:marTop w:val="0"/>
      <w:marBottom w:val="0"/>
      <w:divBdr>
        <w:top w:val="none" w:sz="0" w:space="0" w:color="auto"/>
        <w:left w:val="none" w:sz="0" w:space="0" w:color="auto"/>
        <w:bottom w:val="none" w:sz="0" w:space="0" w:color="auto"/>
        <w:right w:val="none" w:sz="0" w:space="0" w:color="auto"/>
      </w:divBdr>
    </w:div>
    <w:div w:id="640161496">
      <w:bodyDiv w:val="1"/>
      <w:marLeft w:val="0"/>
      <w:marRight w:val="0"/>
      <w:marTop w:val="0"/>
      <w:marBottom w:val="0"/>
      <w:divBdr>
        <w:top w:val="none" w:sz="0" w:space="0" w:color="auto"/>
        <w:left w:val="none" w:sz="0" w:space="0" w:color="auto"/>
        <w:bottom w:val="none" w:sz="0" w:space="0" w:color="auto"/>
        <w:right w:val="none" w:sz="0" w:space="0" w:color="auto"/>
      </w:divBdr>
    </w:div>
    <w:div w:id="680591363">
      <w:bodyDiv w:val="1"/>
      <w:marLeft w:val="0"/>
      <w:marRight w:val="0"/>
      <w:marTop w:val="0"/>
      <w:marBottom w:val="0"/>
      <w:divBdr>
        <w:top w:val="none" w:sz="0" w:space="0" w:color="auto"/>
        <w:left w:val="none" w:sz="0" w:space="0" w:color="auto"/>
        <w:bottom w:val="none" w:sz="0" w:space="0" w:color="auto"/>
        <w:right w:val="none" w:sz="0" w:space="0" w:color="auto"/>
      </w:divBdr>
    </w:div>
    <w:div w:id="722563713">
      <w:bodyDiv w:val="1"/>
      <w:marLeft w:val="0"/>
      <w:marRight w:val="0"/>
      <w:marTop w:val="0"/>
      <w:marBottom w:val="0"/>
      <w:divBdr>
        <w:top w:val="none" w:sz="0" w:space="0" w:color="auto"/>
        <w:left w:val="none" w:sz="0" w:space="0" w:color="auto"/>
        <w:bottom w:val="none" w:sz="0" w:space="0" w:color="auto"/>
        <w:right w:val="none" w:sz="0" w:space="0" w:color="auto"/>
      </w:divBdr>
      <w:divsChild>
        <w:div w:id="1793278688">
          <w:marLeft w:val="0"/>
          <w:marRight w:val="0"/>
          <w:marTop w:val="0"/>
          <w:marBottom w:val="0"/>
          <w:divBdr>
            <w:top w:val="none" w:sz="0" w:space="0" w:color="auto"/>
            <w:left w:val="none" w:sz="0" w:space="0" w:color="auto"/>
            <w:bottom w:val="none" w:sz="0" w:space="0" w:color="auto"/>
            <w:right w:val="none" w:sz="0" w:space="0" w:color="auto"/>
          </w:divBdr>
        </w:div>
      </w:divsChild>
    </w:div>
    <w:div w:id="766998388">
      <w:bodyDiv w:val="1"/>
      <w:marLeft w:val="0"/>
      <w:marRight w:val="0"/>
      <w:marTop w:val="0"/>
      <w:marBottom w:val="0"/>
      <w:divBdr>
        <w:top w:val="none" w:sz="0" w:space="0" w:color="auto"/>
        <w:left w:val="none" w:sz="0" w:space="0" w:color="auto"/>
        <w:bottom w:val="none" w:sz="0" w:space="0" w:color="auto"/>
        <w:right w:val="none" w:sz="0" w:space="0" w:color="auto"/>
      </w:divBdr>
    </w:div>
    <w:div w:id="931016275">
      <w:bodyDiv w:val="1"/>
      <w:marLeft w:val="0"/>
      <w:marRight w:val="0"/>
      <w:marTop w:val="0"/>
      <w:marBottom w:val="0"/>
      <w:divBdr>
        <w:top w:val="none" w:sz="0" w:space="0" w:color="auto"/>
        <w:left w:val="none" w:sz="0" w:space="0" w:color="auto"/>
        <w:bottom w:val="none" w:sz="0" w:space="0" w:color="auto"/>
        <w:right w:val="none" w:sz="0" w:space="0" w:color="auto"/>
      </w:divBdr>
    </w:div>
    <w:div w:id="1043866654">
      <w:bodyDiv w:val="1"/>
      <w:marLeft w:val="0"/>
      <w:marRight w:val="0"/>
      <w:marTop w:val="0"/>
      <w:marBottom w:val="0"/>
      <w:divBdr>
        <w:top w:val="none" w:sz="0" w:space="0" w:color="auto"/>
        <w:left w:val="none" w:sz="0" w:space="0" w:color="auto"/>
        <w:bottom w:val="none" w:sz="0" w:space="0" w:color="auto"/>
        <w:right w:val="none" w:sz="0" w:space="0" w:color="auto"/>
      </w:divBdr>
    </w:div>
    <w:div w:id="1107234536">
      <w:bodyDiv w:val="1"/>
      <w:marLeft w:val="0"/>
      <w:marRight w:val="0"/>
      <w:marTop w:val="0"/>
      <w:marBottom w:val="0"/>
      <w:divBdr>
        <w:top w:val="none" w:sz="0" w:space="0" w:color="auto"/>
        <w:left w:val="none" w:sz="0" w:space="0" w:color="auto"/>
        <w:bottom w:val="none" w:sz="0" w:space="0" w:color="auto"/>
        <w:right w:val="none" w:sz="0" w:space="0" w:color="auto"/>
      </w:divBdr>
      <w:divsChild>
        <w:div w:id="1252397020">
          <w:marLeft w:val="0"/>
          <w:marRight w:val="0"/>
          <w:marTop w:val="0"/>
          <w:marBottom w:val="0"/>
          <w:divBdr>
            <w:top w:val="none" w:sz="0" w:space="0" w:color="auto"/>
            <w:left w:val="none" w:sz="0" w:space="0" w:color="auto"/>
            <w:bottom w:val="none" w:sz="0" w:space="0" w:color="auto"/>
            <w:right w:val="none" w:sz="0" w:space="0" w:color="auto"/>
          </w:divBdr>
        </w:div>
        <w:div w:id="2020961913">
          <w:marLeft w:val="0"/>
          <w:marRight w:val="0"/>
          <w:marTop w:val="0"/>
          <w:marBottom w:val="0"/>
          <w:divBdr>
            <w:top w:val="none" w:sz="0" w:space="0" w:color="auto"/>
            <w:left w:val="none" w:sz="0" w:space="0" w:color="auto"/>
            <w:bottom w:val="none" w:sz="0" w:space="0" w:color="auto"/>
            <w:right w:val="none" w:sz="0" w:space="0" w:color="auto"/>
          </w:divBdr>
        </w:div>
      </w:divsChild>
    </w:div>
    <w:div w:id="1528254034">
      <w:bodyDiv w:val="1"/>
      <w:marLeft w:val="0"/>
      <w:marRight w:val="0"/>
      <w:marTop w:val="0"/>
      <w:marBottom w:val="0"/>
      <w:divBdr>
        <w:top w:val="none" w:sz="0" w:space="0" w:color="auto"/>
        <w:left w:val="none" w:sz="0" w:space="0" w:color="auto"/>
        <w:bottom w:val="none" w:sz="0" w:space="0" w:color="auto"/>
        <w:right w:val="none" w:sz="0" w:space="0" w:color="auto"/>
      </w:divBdr>
      <w:divsChild>
        <w:div w:id="1607233356">
          <w:marLeft w:val="0"/>
          <w:marRight w:val="0"/>
          <w:marTop w:val="0"/>
          <w:marBottom w:val="0"/>
          <w:divBdr>
            <w:top w:val="none" w:sz="0" w:space="0" w:color="auto"/>
            <w:left w:val="none" w:sz="0" w:space="0" w:color="auto"/>
            <w:bottom w:val="none" w:sz="0" w:space="0" w:color="auto"/>
            <w:right w:val="none" w:sz="0" w:space="0" w:color="auto"/>
          </w:divBdr>
        </w:div>
      </w:divsChild>
    </w:div>
    <w:div w:id="1555193446">
      <w:bodyDiv w:val="1"/>
      <w:marLeft w:val="0"/>
      <w:marRight w:val="0"/>
      <w:marTop w:val="0"/>
      <w:marBottom w:val="0"/>
      <w:divBdr>
        <w:top w:val="none" w:sz="0" w:space="0" w:color="auto"/>
        <w:left w:val="none" w:sz="0" w:space="0" w:color="auto"/>
        <w:bottom w:val="none" w:sz="0" w:space="0" w:color="auto"/>
        <w:right w:val="none" w:sz="0" w:space="0" w:color="auto"/>
      </w:divBdr>
    </w:div>
    <w:div w:id="1850754253">
      <w:bodyDiv w:val="1"/>
      <w:marLeft w:val="0"/>
      <w:marRight w:val="0"/>
      <w:marTop w:val="0"/>
      <w:marBottom w:val="0"/>
      <w:divBdr>
        <w:top w:val="none" w:sz="0" w:space="0" w:color="auto"/>
        <w:left w:val="none" w:sz="0" w:space="0" w:color="auto"/>
        <w:bottom w:val="none" w:sz="0" w:space="0" w:color="auto"/>
        <w:right w:val="none" w:sz="0" w:space="0" w:color="auto"/>
      </w:divBdr>
    </w:div>
    <w:div w:id="1984574959">
      <w:bodyDiv w:val="1"/>
      <w:marLeft w:val="0"/>
      <w:marRight w:val="0"/>
      <w:marTop w:val="0"/>
      <w:marBottom w:val="0"/>
      <w:divBdr>
        <w:top w:val="none" w:sz="0" w:space="0" w:color="auto"/>
        <w:left w:val="none" w:sz="0" w:space="0" w:color="auto"/>
        <w:bottom w:val="none" w:sz="0" w:space="0" w:color="auto"/>
        <w:right w:val="none" w:sz="0" w:space="0" w:color="auto"/>
      </w:divBdr>
    </w:div>
    <w:div w:id="2037537927">
      <w:bodyDiv w:val="1"/>
      <w:marLeft w:val="0"/>
      <w:marRight w:val="0"/>
      <w:marTop w:val="0"/>
      <w:marBottom w:val="0"/>
      <w:divBdr>
        <w:top w:val="none" w:sz="0" w:space="0" w:color="auto"/>
        <w:left w:val="none" w:sz="0" w:space="0" w:color="auto"/>
        <w:bottom w:val="none" w:sz="0" w:space="0" w:color="auto"/>
        <w:right w:val="none" w:sz="0" w:space="0" w:color="auto"/>
      </w:divBdr>
    </w:div>
    <w:div w:id="21327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mhc.org/research-insight/research-notes/2020/which-apartment-residents-are-most-affected-by-job-los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usingtoolkit.nmh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eareapartments.org/" TargetMode="External"/><Relationship Id="rId3" Type="http://schemas.openxmlformats.org/officeDocument/2006/relationships/hyperlink" Target="https://www.jchs.harvard.edu/sites/default/files/reports/files/Harvard_JCHS_Americas_Rental_Housing_2020.pdf" TargetMode="External"/><Relationship Id="rId7" Type="http://schemas.openxmlformats.org/officeDocument/2006/relationships/hyperlink" Target="https://www.whitehouse.gov/briefing-room/statements-releases/2022/05/16/president-biden-announces-new-actions-to-ease-the-burden-of-housing-costs/" TargetMode="External"/><Relationship Id="rId12" Type="http://schemas.openxmlformats.org/officeDocument/2006/relationships/hyperlink" Target="https://www.jchs.harvard.edu/sites/default/files/reports/files/Harvard_JCHS_Americas_Rental_Housing_2022.pdf" TargetMode="External"/><Relationship Id="rId2" Type="http://schemas.openxmlformats.org/officeDocument/2006/relationships/hyperlink" Target="https://www.weareapartments.org/" TargetMode="External"/><Relationship Id="rId1" Type="http://schemas.openxmlformats.org/officeDocument/2006/relationships/hyperlink" Target="https://www.weareapartments.org/" TargetMode="External"/><Relationship Id="rId6" Type="http://schemas.openxmlformats.org/officeDocument/2006/relationships/hyperlink" Target="https://www.nmhc.org/research-insight/research-notes/2020/which-apartment-residents-are-most-affected-by-job-losses" TargetMode="External"/><Relationship Id="rId11" Type="http://schemas.openxmlformats.org/officeDocument/2006/relationships/hyperlink" Target="https://www.jchs.harvard.edu/sites/default/files/reports/files/Harvard_JCHS_Americas_Rental_Housing_2022.pdf" TargetMode="External"/><Relationship Id="rId5" Type="http://schemas.openxmlformats.org/officeDocument/2006/relationships/hyperlink" Target="https://housingtoolkit.nmhc.org/" TargetMode="External"/><Relationship Id="rId10" Type="http://schemas.openxmlformats.org/officeDocument/2006/relationships/hyperlink" Target="https://rentalhousingaction.org/wp-content/uploads/2021/10/AHCIA-One-Page-Summary-September-2021.pdf" TargetMode="External"/><Relationship Id="rId4" Type="http://schemas.openxmlformats.org/officeDocument/2006/relationships/hyperlink" Target="https://www.nmhc.org/globalassets/research--insight/research-reports/cost-of-regulations/2022-nahb-nmhc-cost-of-regulations-report.pdf" TargetMode="External"/><Relationship Id="rId9" Type="http://schemas.openxmlformats.org/officeDocument/2006/relationships/hyperlink" Target="https://www.weareapartm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AB63CDD804C4886C456A9715B4629" ma:contentTypeVersion="7" ma:contentTypeDescription="Create a new document." ma:contentTypeScope="" ma:versionID="9726cb9eeaad44560571d418fcee3dd9">
  <xsd:schema xmlns:xsd="http://www.w3.org/2001/XMLSchema" xmlns:xs="http://www.w3.org/2001/XMLSchema" xmlns:p="http://schemas.microsoft.com/office/2006/metadata/properties" xmlns:ns3="8f2e25e4-fefc-4e30-beac-26e2061cadf5" xmlns:ns4="bdb373ff-8156-46bd-a144-52cfcba40ceb" targetNamespace="http://schemas.microsoft.com/office/2006/metadata/properties" ma:root="true" ma:fieldsID="4ae6bbace690aca75e40324162488303" ns3:_="" ns4:_="">
    <xsd:import namespace="8f2e25e4-fefc-4e30-beac-26e2061cadf5"/>
    <xsd:import namespace="bdb373ff-8156-46bd-a144-52cfcba40c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25e4-fefc-4e30-beac-26e2061c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b373ff-8156-46bd-a144-52cfcba40c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29CA5-7E10-4356-BFE4-3C0A526B5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e25e4-fefc-4e30-beac-26e2061cadf5"/>
    <ds:schemaRef ds:uri="bdb373ff-8156-46bd-a144-52cfcba40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68B65-CBE7-422A-B6C0-D58E813C9A4D}">
  <ds:schemaRefs>
    <ds:schemaRef ds:uri="http://schemas.openxmlformats.org/officeDocument/2006/bibliography"/>
  </ds:schemaRefs>
</ds:datastoreItem>
</file>

<file path=customXml/itemProps3.xml><?xml version="1.0" encoding="utf-8"?>
<ds:datastoreItem xmlns:ds="http://schemas.openxmlformats.org/officeDocument/2006/customXml" ds:itemID="{12AAF222-681F-4338-B1E9-2692067438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27726E-C5EC-4523-89B9-A485056C1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Dudzinski</dc:creator>
  <cp:keywords/>
  <dc:description/>
  <cp:lastModifiedBy>Matthew M. Berger</cp:lastModifiedBy>
  <cp:revision>25</cp:revision>
  <dcterms:created xsi:type="dcterms:W3CDTF">2022-07-19T02:39:00Z</dcterms:created>
  <dcterms:modified xsi:type="dcterms:W3CDTF">2022-07-19T16:31:00Z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0x010100509AB63CDD804C4886C456A9715B4629</vt:lpwstr>
  </property>
</Properties>
</file>